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5F81F" w14:textId="77777777" w:rsidR="002F4EDD" w:rsidRDefault="00000000">
      <w:pPr>
        <w:widowControl/>
        <w:jc w:val="left"/>
        <w:outlineLvl w:val="0"/>
      </w:pPr>
      <w:r>
        <w:rPr>
          <w:rFonts w:ascii="仿宋" w:eastAsia="仿宋" w:hAnsi="仿宋" w:cs="仿宋" w:hint="eastAsia"/>
          <w:b/>
          <w:sz w:val="32"/>
          <w:szCs w:val="32"/>
        </w:rPr>
        <w:t>附件</w:t>
      </w:r>
      <w:proofErr w:type="gramStart"/>
      <w:r>
        <w:rPr>
          <w:rFonts w:ascii="仿宋" w:eastAsia="仿宋" w:hAnsi="仿宋" w:cs="仿宋" w:hint="eastAsia"/>
          <w:b/>
          <w:sz w:val="32"/>
          <w:szCs w:val="32"/>
        </w:rPr>
        <w:t>3  技术评分表</w:t>
      </w:r>
      <w:proofErr w:type="gramEnd"/>
      <w:r>
        <w:rPr>
          <w:rFonts w:ascii="仿宋" w:eastAsia="仿宋" w:hAnsi="仿宋" w:cs="仿宋" w:hint="eastAsia"/>
          <w:b/>
          <w:sz w:val="32"/>
          <w:szCs w:val="32"/>
        </w:rPr>
        <w:t>（100分，主观分标注黄色）</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1032"/>
        <w:gridCol w:w="612"/>
        <w:gridCol w:w="5470"/>
        <w:gridCol w:w="2775"/>
      </w:tblGrid>
      <w:tr w:rsidR="002F4EDD" w14:paraId="317D4C9E" w14:textId="77777777">
        <w:trPr>
          <w:trHeight w:val="661"/>
          <w:jc w:val="center"/>
        </w:trPr>
        <w:tc>
          <w:tcPr>
            <w:tcW w:w="678" w:type="dxa"/>
            <w:noWrap/>
            <w:vAlign w:val="center"/>
          </w:tcPr>
          <w:p w14:paraId="33CCA6B0" w14:textId="77777777" w:rsidR="002F4EDD" w:rsidRDefault="00000000">
            <w:pPr>
              <w:jc w:val="center"/>
              <w:rPr>
                <w:rFonts w:ascii="仿宋" w:eastAsia="仿宋" w:hAnsi="仿宋" w:cs="仿宋" w:hint="eastAsia"/>
                <w:b/>
                <w:bCs/>
                <w:sz w:val="20"/>
              </w:rPr>
            </w:pPr>
            <w:r>
              <w:rPr>
                <w:rFonts w:ascii="仿宋" w:eastAsia="仿宋" w:hAnsi="仿宋" w:cs="仿宋" w:hint="eastAsia"/>
                <w:b/>
                <w:bCs/>
                <w:sz w:val="20"/>
              </w:rPr>
              <w:t>评分项</w:t>
            </w:r>
          </w:p>
        </w:tc>
        <w:tc>
          <w:tcPr>
            <w:tcW w:w="1032" w:type="dxa"/>
            <w:noWrap/>
            <w:vAlign w:val="center"/>
          </w:tcPr>
          <w:p w14:paraId="4D237738" w14:textId="77777777" w:rsidR="002F4EDD" w:rsidRDefault="00000000">
            <w:pPr>
              <w:jc w:val="center"/>
              <w:rPr>
                <w:rFonts w:ascii="仿宋" w:eastAsia="仿宋" w:hAnsi="仿宋" w:cs="仿宋" w:hint="eastAsia"/>
                <w:b/>
                <w:bCs/>
                <w:sz w:val="20"/>
              </w:rPr>
            </w:pPr>
            <w:r>
              <w:rPr>
                <w:rFonts w:ascii="仿宋" w:eastAsia="仿宋" w:hAnsi="仿宋" w:cs="仿宋" w:hint="eastAsia"/>
                <w:b/>
                <w:bCs/>
                <w:sz w:val="20"/>
              </w:rPr>
              <w:t>细化评分项</w:t>
            </w:r>
          </w:p>
        </w:tc>
        <w:tc>
          <w:tcPr>
            <w:tcW w:w="612" w:type="dxa"/>
            <w:noWrap/>
            <w:vAlign w:val="center"/>
          </w:tcPr>
          <w:p w14:paraId="64A16B8B" w14:textId="77777777" w:rsidR="002F4EDD" w:rsidRDefault="00000000">
            <w:pPr>
              <w:jc w:val="center"/>
              <w:rPr>
                <w:rFonts w:ascii="仿宋" w:eastAsia="仿宋" w:hAnsi="仿宋" w:cs="仿宋" w:hint="eastAsia"/>
                <w:b/>
                <w:bCs/>
                <w:sz w:val="20"/>
              </w:rPr>
            </w:pPr>
            <w:r>
              <w:rPr>
                <w:rFonts w:ascii="仿宋" w:eastAsia="仿宋" w:hAnsi="仿宋" w:cs="仿宋" w:hint="eastAsia"/>
                <w:b/>
                <w:bCs/>
                <w:sz w:val="20"/>
              </w:rPr>
              <w:t>分值</w:t>
            </w:r>
          </w:p>
        </w:tc>
        <w:tc>
          <w:tcPr>
            <w:tcW w:w="5470" w:type="dxa"/>
            <w:noWrap/>
            <w:vAlign w:val="center"/>
          </w:tcPr>
          <w:p w14:paraId="1FA7A949" w14:textId="77777777" w:rsidR="002F4EDD" w:rsidRDefault="00000000">
            <w:pPr>
              <w:jc w:val="center"/>
              <w:rPr>
                <w:rFonts w:ascii="仿宋" w:eastAsia="仿宋" w:hAnsi="仿宋" w:cs="仿宋" w:hint="eastAsia"/>
                <w:b/>
                <w:bCs/>
                <w:sz w:val="20"/>
              </w:rPr>
            </w:pPr>
            <w:r>
              <w:rPr>
                <w:rFonts w:ascii="仿宋" w:eastAsia="仿宋" w:hAnsi="仿宋" w:cs="仿宋" w:hint="eastAsia"/>
                <w:b/>
                <w:bCs/>
                <w:sz w:val="20"/>
              </w:rPr>
              <w:t>评分标准</w:t>
            </w:r>
          </w:p>
        </w:tc>
        <w:tc>
          <w:tcPr>
            <w:tcW w:w="2775" w:type="dxa"/>
            <w:noWrap/>
            <w:vAlign w:val="center"/>
          </w:tcPr>
          <w:p w14:paraId="7E161DAC" w14:textId="77777777" w:rsidR="002F4EDD" w:rsidRDefault="00000000">
            <w:pPr>
              <w:jc w:val="center"/>
              <w:rPr>
                <w:rFonts w:ascii="仿宋" w:eastAsia="仿宋" w:hAnsi="仿宋" w:cs="仿宋" w:hint="eastAsia"/>
                <w:b/>
                <w:bCs/>
                <w:sz w:val="20"/>
              </w:rPr>
            </w:pPr>
            <w:r>
              <w:rPr>
                <w:rFonts w:ascii="仿宋" w:eastAsia="仿宋" w:hAnsi="仿宋" w:cs="仿宋" w:hint="eastAsia"/>
                <w:b/>
                <w:bCs/>
                <w:sz w:val="20"/>
              </w:rPr>
              <w:t>提供的证明材料</w:t>
            </w:r>
          </w:p>
        </w:tc>
      </w:tr>
      <w:tr w:rsidR="002F4EDD" w14:paraId="1579C275" w14:textId="77777777">
        <w:trPr>
          <w:trHeight w:val="2289"/>
          <w:jc w:val="center"/>
        </w:trPr>
        <w:tc>
          <w:tcPr>
            <w:tcW w:w="678" w:type="dxa"/>
            <w:vMerge w:val="restart"/>
            <w:noWrap/>
            <w:vAlign w:val="center"/>
          </w:tcPr>
          <w:p w14:paraId="2EF10A10" w14:textId="77777777" w:rsidR="002F4EDD" w:rsidRDefault="00000000">
            <w:pPr>
              <w:widowControl/>
              <w:jc w:val="center"/>
              <w:rPr>
                <w:rFonts w:ascii="仿宋" w:eastAsia="仿宋" w:hAnsi="仿宋" w:cs="仿宋" w:hint="eastAsia"/>
                <w:b/>
                <w:bCs/>
                <w:sz w:val="20"/>
              </w:rPr>
            </w:pPr>
            <w:r>
              <w:rPr>
                <w:rFonts w:ascii="仿宋" w:eastAsia="仿宋" w:hAnsi="仿宋"/>
                <w:b/>
                <w:bCs/>
                <w:sz w:val="20"/>
              </w:rPr>
              <w:t>资源投入及服务保障</w:t>
            </w:r>
          </w:p>
        </w:tc>
        <w:tc>
          <w:tcPr>
            <w:tcW w:w="1032" w:type="dxa"/>
            <w:noWrap/>
            <w:vAlign w:val="center"/>
          </w:tcPr>
          <w:p w14:paraId="701BD848" w14:textId="77777777" w:rsidR="002F4EDD" w:rsidRDefault="00000000">
            <w:pPr>
              <w:widowControl/>
              <w:jc w:val="center"/>
              <w:rPr>
                <w:rFonts w:ascii="仿宋" w:eastAsia="仿宋" w:hAnsi="仿宋" w:cs="仿宋" w:hint="eastAsia"/>
                <w:b/>
                <w:bCs/>
                <w:sz w:val="20"/>
              </w:rPr>
            </w:pPr>
            <w:r>
              <w:rPr>
                <w:rFonts w:ascii="仿宋" w:eastAsia="仿宋" w:hAnsi="仿宋"/>
                <w:b/>
                <w:bCs/>
                <w:sz w:val="20"/>
              </w:rPr>
              <w:t>团队配置</w:t>
            </w:r>
          </w:p>
        </w:tc>
        <w:tc>
          <w:tcPr>
            <w:tcW w:w="612" w:type="dxa"/>
            <w:noWrap/>
            <w:vAlign w:val="center"/>
          </w:tcPr>
          <w:p w14:paraId="77454581" w14:textId="0538DE04" w:rsidR="002F4EDD" w:rsidRDefault="00000000">
            <w:pPr>
              <w:jc w:val="center"/>
              <w:rPr>
                <w:rFonts w:ascii="仿宋" w:eastAsia="仿宋" w:hAnsi="仿宋" w:cs="仿宋" w:hint="eastAsia"/>
                <w:sz w:val="20"/>
              </w:rPr>
            </w:pPr>
            <w:r>
              <w:rPr>
                <w:rFonts w:ascii="仿宋" w:eastAsia="仿宋" w:hAnsi="仿宋" w:hint="eastAsia"/>
                <w:sz w:val="20"/>
              </w:rPr>
              <w:t>1</w:t>
            </w:r>
            <w:r w:rsidR="00622CF6">
              <w:rPr>
                <w:rFonts w:ascii="仿宋" w:eastAsia="仿宋" w:hAnsi="仿宋" w:hint="eastAsia"/>
                <w:sz w:val="20"/>
              </w:rPr>
              <w:t>5</w:t>
            </w:r>
          </w:p>
        </w:tc>
        <w:tc>
          <w:tcPr>
            <w:tcW w:w="5470" w:type="dxa"/>
            <w:vAlign w:val="center"/>
          </w:tcPr>
          <w:p w14:paraId="4A95329A" w14:textId="77777777" w:rsidR="00622CF6" w:rsidRPr="00622CF6" w:rsidRDefault="00622CF6" w:rsidP="00622CF6">
            <w:pPr>
              <w:rPr>
                <w:rFonts w:ascii="仿宋" w:eastAsia="仿宋" w:hAnsi="仿宋" w:cs="仿宋" w:hint="eastAsia"/>
                <w:sz w:val="20"/>
              </w:rPr>
            </w:pPr>
            <w:r w:rsidRPr="00622CF6">
              <w:rPr>
                <w:rFonts w:ascii="仿宋" w:eastAsia="仿宋" w:hAnsi="仿宋" w:cs="仿宋" w:hint="eastAsia"/>
                <w:sz w:val="20"/>
              </w:rPr>
              <w:t>需为本项目配备技术服务团队。</w:t>
            </w:r>
          </w:p>
          <w:p w14:paraId="58C32BF0" w14:textId="77777777" w:rsidR="00622CF6" w:rsidRPr="00622CF6" w:rsidRDefault="00622CF6" w:rsidP="00622CF6">
            <w:pPr>
              <w:rPr>
                <w:rFonts w:ascii="仿宋" w:eastAsia="仿宋" w:hAnsi="仿宋" w:cs="仿宋" w:hint="eastAsia"/>
                <w:sz w:val="20"/>
              </w:rPr>
            </w:pPr>
            <w:r w:rsidRPr="00622CF6">
              <w:rPr>
                <w:rFonts w:ascii="仿宋" w:eastAsia="仿宋" w:hAnsi="仿宋" w:cs="仿宋" w:hint="eastAsia"/>
                <w:sz w:val="20"/>
              </w:rPr>
              <w:t>1.项目经理：</w:t>
            </w:r>
          </w:p>
          <w:p w14:paraId="527988E7" w14:textId="77777777" w:rsidR="00622CF6" w:rsidRPr="00622CF6" w:rsidRDefault="00622CF6" w:rsidP="00622CF6">
            <w:pPr>
              <w:rPr>
                <w:rFonts w:ascii="仿宋" w:eastAsia="仿宋" w:hAnsi="仿宋" w:cs="仿宋" w:hint="eastAsia"/>
                <w:sz w:val="20"/>
              </w:rPr>
            </w:pPr>
            <w:r w:rsidRPr="00622CF6">
              <w:rPr>
                <w:rFonts w:ascii="仿宋" w:eastAsia="仿宋" w:hAnsi="仿宋" w:cs="仿宋" w:hint="eastAsia"/>
                <w:sz w:val="20"/>
              </w:rPr>
              <w:t>①具备本科及以上学历，得2分；</w:t>
            </w:r>
          </w:p>
          <w:p w14:paraId="1B85E348" w14:textId="77777777" w:rsidR="00622CF6" w:rsidRPr="00622CF6" w:rsidRDefault="00622CF6" w:rsidP="00622CF6">
            <w:pPr>
              <w:rPr>
                <w:rFonts w:ascii="仿宋" w:eastAsia="仿宋" w:hAnsi="仿宋" w:cs="仿宋" w:hint="eastAsia"/>
                <w:sz w:val="20"/>
              </w:rPr>
            </w:pPr>
            <w:r w:rsidRPr="00622CF6">
              <w:rPr>
                <w:rFonts w:ascii="仿宋" w:eastAsia="仿宋" w:hAnsi="仿宋" w:cs="仿宋" w:hint="eastAsia"/>
                <w:sz w:val="20"/>
              </w:rPr>
              <w:t>②具备PMP或信息系统项目管理师资质，得2分；</w:t>
            </w:r>
          </w:p>
          <w:p w14:paraId="7A6D0111" w14:textId="77777777" w:rsidR="00622CF6" w:rsidRPr="00622CF6" w:rsidRDefault="00622CF6" w:rsidP="00622CF6">
            <w:pPr>
              <w:rPr>
                <w:rFonts w:ascii="仿宋" w:eastAsia="仿宋" w:hAnsi="仿宋" w:cs="仿宋" w:hint="eastAsia"/>
                <w:sz w:val="20"/>
              </w:rPr>
            </w:pPr>
            <w:r w:rsidRPr="00622CF6">
              <w:rPr>
                <w:rFonts w:ascii="仿宋" w:eastAsia="仿宋" w:hAnsi="仿宋" w:cs="仿宋" w:hint="eastAsia"/>
                <w:sz w:val="20"/>
              </w:rPr>
              <w:t>③具有5年及以上工作经验，得2分。</w:t>
            </w:r>
          </w:p>
          <w:p w14:paraId="42CEE70E" w14:textId="77777777" w:rsidR="00622CF6" w:rsidRPr="00622CF6" w:rsidRDefault="00622CF6" w:rsidP="00622CF6">
            <w:pPr>
              <w:rPr>
                <w:rFonts w:ascii="仿宋" w:eastAsia="仿宋" w:hAnsi="仿宋" w:cs="仿宋" w:hint="eastAsia"/>
                <w:sz w:val="20"/>
              </w:rPr>
            </w:pPr>
            <w:r w:rsidRPr="00622CF6">
              <w:rPr>
                <w:rFonts w:ascii="仿宋" w:eastAsia="仿宋" w:hAnsi="仿宋" w:cs="仿宋" w:hint="eastAsia"/>
                <w:sz w:val="20"/>
              </w:rPr>
              <w:t>2.团队成员（不含项目经理）：</w:t>
            </w:r>
          </w:p>
          <w:p w14:paraId="1682E3EC" w14:textId="77777777" w:rsidR="00622CF6" w:rsidRPr="00622CF6" w:rsidRDefault="00622CF6" w:rsidP="00622CF6">
            <w:pPr>
              <w:rPr>
                <w:rFonts w:ascii="仿宋" w:eastAsia="仿宋" w:hAnsi="仿宋" w:cs="仿宋" w:hint="eastAsia"/>
                <w:sz w:val="20"/>
              </w:rPr>
            </w:pPr>
            <w:r w:rsidRPr="00622CF6">
              <w:rPr>
                <w:rFonts w:ascii="仿宋" w:eastAsia="仿宋" w:hAnsi="仿宋" w:cs="仿宋" w:hint="eastAsia"/>
                <w:sz w:val="20"/>
              </w:rPr>
              <w:t>①具备本科及以上学历人员达到6人，得3分；每少1人扣0.5分，扣完为止。</w:t>
            </w:r>
          </w:p>
          <w:p w14:paraId="366E946D" w14:textId="77777777" w:rsidR="00622CF6" w:rsidRPr="00622CF6" w:rsidRDefault="00622CF6" w:rsidP="00622CF6">
            <w:pPr>
              <w:rPr>
                <w:rFonts w:ascii="仿宋" w:eastAsia="仿宋" w:hAnsi="仿宋" w:cs="仿宋" w:hint="eastAsia"/>
                <w:sz w:val="20"/>
              </w:rPr>
            </w:pPr>
            <w:r w:rsidRPr="00622CF6">
              <w:rPr>
                <w:rFonts w:ascii="仿宋" w:eastAsia="仿宋" w:hAnsi="仿宋" w:cs="仿宋" w:hint="eastAsia"/>
                <w:sz w:val="20"/>
              </w:rPr>
              <w:t>②取得中级及以上计算机相关资格证书每项计 1 分，初级资格证书每项计 0.5 分，本项最高得3分。（注：具有多项资格证书的人员只能使用一项认证，人员不重复得分；无法区分等级的资格证书均视为初级。）</w:t>
            </w:r>
          </w:p>
          <w:p w14:paraId="067215D3" w14:textId="4B40DC35" w:rsidR="002F4EDD" w:rsidRDefault="00622CF6" w:rsidP="00622CF6">
            <w:pPr>
              <w:rPr>
                <w:rFonts w:ascii="仿宋" w:eastAsia="仿宋" w:hAnsi="仿宋" w:cs="仿宋" w:hint="eastAsia"/>
                <w:sz w:val="20"/>
              </w:rPr>
            </w:pPr>
            <w:r w:rsidRPr="00622CF6">
              <w:rPr>
                <w:rFonts w:ascii="仿宋" w:eastAsia="仿宋" w:hAnsi="仿宋" w:cs="仿宋" w:hint="eastAsia"/>
                <w:sz w:val="20"/>
              </w:rPr>
              <w:t>③具有1年及以上工作经验的人员达到6人，得3分；每少1人扣0.5分，扣完为止。</w:t>
            </w:r>
          </w:p>
        </w:tc>
        <w:tc>
          <w:tcPr>
            <w:tcW w:w="2775" w:type="dxa"/>
            <w:noWrap/>
            <w:vAlign w:val="center"/>
          </w:tcPr>
          <w:p w14:paraId="61BBE424" w14:textId="77777777" w:rsidR="002F4EDD" w:rsidRDefault="00000000">
            <w:pPr>
              <w:jc w:val="left"/>
              <w:rPr>
                <w:rFonts w:ascii="仿宋" w:eastAsia="仿宋" w:hAnsi="仿宋" w:hint="eastAsia"/>
                <w:color w:val="000000"/>
                <w:kern w:val="0"/>
                <w:sz w:val="20"/>
              </w:rPr>
            </w:pPr>
            <w:r>
              <w:rPr>
                <w:rFonts w:ascii="仿宋" w:eastAsia="仿宋" w:hAnsi="仿宋" w:hint="eastAsia"/>
                <w:color w:val="000000"/>
                <w:kern w:val="0"/>
                <w:sz w:val="20"/>
              </w:rPr>
              <w:t>1、提供人员清单以及有效的身份证正反面扫描件。</w:t>
            </w:r>
          </w:p>
          <w:p w14:paraId="002C2488" w14:textId="77777777" w:rsidR="002F4EDD" w:rsidRDefault="00000000">
            <w:pPr>
              <w:jc w:val="left"/>
              <w:rPr>
                <w:rFonts w:ascii="仿宋" w:eastAsia="仿宋" w:hAnsi="仿宋" w:hint="eastAsia"/>
                <w:color w:val="000000"/>
                <w:kern w:val="0"/>
                <w:sz w:val="20"/>
              </w:rPr>
            </w:pPr>
            <w:r>
              <w:rPr>
                <w:rFonts w:ascii="仿宋" w:eastAsia="仿宋" w:hAnsi="仿宋" w:hint="eastAsia"/>
                <w:color w:val="000000"/>
                <w:kern w:val="0"/>
                <w:sz w:val="20"/>
              </w:rPr>
              <w:t>2、学历、资质：提供学历证明（“毕业证+学信网在线查验码”或“学信网截图+学信网在线查验码”）、对应资格证书扫描件以及提供证书网站查询截图，截图须包括查询网页地址链接或单独提供链接。证书、学历等若无法在线查验的，须提供相关说明，原件备查。</w:t>
            </w:r>
          </w:p>
          <w:p w14:paraId="388214A7" w14:textId="77777777" w:rsidR="002F4EDD" w:rsidRDefault="00000000">
            <w:pPr>
              <w:jc w:val="left"/>
              <w:rPr>
                <w:rFonts w:ascii="仿宋" w:eastAsia="仿宋" w:hAnsi="仿宋" w:hint="eastAsia"/>
                <w:color w:val="000000"/>
                <w:kern w:val="0"/>
                <w:sz w:val="20"/>
              </w:rPr>
            </w:pPr>
            <w:r>
              <w:rPr>
                <w:rFonts w:ascii="仿宋" w:eastAsia="仿宋" w:hAnsi="仿宋" w:hint="eastAsia"/>
                <w:color w:val="000000"/>
                <w:kern w:val="0"/>
                <w:sz w:val="20"/>
              </w:rPr>
              <w:t>3、项目经理及团队成员劳动合同：①须提供与应答人签订的劳动合同扫描件，劳动合同在有效期内（应答时间）。②合同签字盖章页须具有双方盖章或签字，但如合同约定合同应当签字并盖章生效的，则合同应当签字并盖章，否则该合同不予认定；③若合同扫描件模糊不清，或合同签订日期、签字盖章无法辨识的，则该合同视为无效。</w:t>
            </w:r>
          </w:p>
          <w:p w14:paraId="715F1AB1" w14:textId="77777777" w:rsidR="002F4EDD" w:rsidRDefault="00000000">
            <w:pPr>
              <w:jc w:val="left"/>
              <w:rPr>
                <w:rFonts w:ascii="仿宋" w:eastAsia="仿宋" w:hAnsi="仿宋" w:hint="eastAsia"/>
                <w:color w:val="000000"/>
                <w:kern w:val="0"/>
                <w:sz w:val="20"/>
              </w:rPr>
            </w:pPr>
            <w:r>
              <w:rPr>
                <w:rFonts w:ascii="仿宋" w:eastAsia="仿宋" w:hAnsi="仿宋" w:hint="eastAsia"/>
                <w:color w:val="000000"/>
                <w:kern w:val="0"/>
                <w:sz w:val="20"/>
              </w:rPr>
              <w:t>4、社保：项目经理需提供应答截止之日近六个月内任意连续三个月由社保局或税务部门出具的在应答方单位工作缴纳社保证明清单。</w:t>
            </w:r>
          </w:p>
          <w:p w14:paraId="688FE039" w14:textId="77777777" w:rsidR="002F4EDD" w:rsidRDefault="00000000">
            <w:pPr>
              <w:jc w:val="left"/>
              <w:rPr>
                <w:rFonts w:ascii="仿宋" w:eastAsia="仿宋" w:hAnsi="仿宋" w:hint="eastAsia"/>
                <w:color w:val="000000"/>
                <w:kern w:val="0"/>
                <w:sz w:val="20"/>
              </w:rPr>
            </w:pPr>
            <w:r>
              <w:rPr>
                <w:rFonts w:ascii="仿宋" w:eastAsia="仿宋" w:hAnsi="仿宋" w:hint="eastAsia"/>
                <w:color w:val="000000"/>
                <w:kern w:val="0"/>
                <w:sz w:val="20"/>
              </w:rPr>
              <w:t>5、工作经验：以最高学历毕业证书时间为准。</w:t>
            </w:r>
          </w:p>
          <w:p w14:paraId="7299E882" w14:textId="77777777" w:rsidR="002F4EDD" w:rsidRDefault="00000000">
            <w:pPr>
              <w:pStyle w:val="afc"/>
              <w:ind w:firstLineChars="0" w:firstLine="0"/>
              <w:rPr>
                <w:rFonts w:ascii="仿宋" w:eastAsia="仿宋" w:hAnsi="仿宋" w:cs="仿宋" w:hint="eastAsia"/>
                <w:sz w:val="20"/>
                <w:szCs w:val="20"/>
              </w:rPr>
            </w:pPr>
            <w:r>
              <w:rPr>
                <w:rFonts w:ascii="仿宋" w:eastAsia="仿宋" w:hAnsi="仿宋" w:hint="eastAsia"/>
                <w:color w:val="000000"/>
                <w:kern w:val="0"/>
                <w:sz w:val="20"/>
              </w:rPr>
              <w:t>说明：劳动合同、社保证明不符合要求的，视作该人员与应答人的隶属关系不成立，该人员各项均不得分。</w:t>
            </w:r>
          </w:p>
        </w:tc>
      </w:tr>
      <w:tr w:rsidR="002F4EDD" w14:paraId="29444C17" w14:textId="77777777">
        <w:trPr>
          <w:trHeight w:val="1031"/>
          <w:jc w:val="center"/>
        </w:trPr>
        <w:tc>
          <w:tcPr>
            <w:tcW w:w="678" w:type="dxa"/>
            <w:vMerge/>
            <w:noWrap/>
            <w:vAlign w:val="center"/>
          </w:tcPr>
          <w:p w14:paraId="7B25C676" w14:textId="77777777" w:rsidR="002F4EDD" w:rsidRDefault="002F4EDD">
            <w:pPr>
              <w:widowControl/>
              <w:jc w:val="center"/>
              <w:rPr>
                <w:rFonts w:ascii="仿宋" w:eastAsia="仿宋" w:hAnsi="仿宋" w:cs="仿宋" w:hint="eastAsia"/>
                <w:b/>
                <w:bCs/>
                <w:kern w:val="0"/>
                <w:sz w:val="20"/>
              </w:rPr>
            </w:pPr>
          </w:p>
        </w:tc>
        <w:tc>
          <w:tcPr>
            <w:tcW w:w="1032" w:type="dxa"/>
            <w:noWrap/>
            <w:vAlign w:val="center"/>
          </w:tcPr>
          <w:p w14:paraId="733B9367" w14:textId="77777777" w:rsidR="002F4EDD" w:rsidRDefault="00000000">
            <w:pPr>
              <w:widowControl/>
              <w:jc w:val="center"/>
              <w:rPr>
                <w:rFonts w:ascii="仿宋" w:eastAsia="仿宋" w:hAnsi="仿宋" w:cs="仿宋" w:hint="eastAsia"/>
                <w:b/>
                <w:bCs/>
                <w:sz w:val="20"/>
              </w:rPr>
            </w:pPr>
            <w:r>
              <w:rPr>
                <w:rFonts w:ascii="仿宋" w:eastAsia="仿宋" w:hAnsi="仿宋"/>
                <w:b/>
                <w:bCs/>
                <w:sz w:val="20"/>
              </w:rPr>
              <w:t>服务支持能力</w:t>
            </w:r>
          </w:p>
        </w:tc>
        <w:tc>
          <w:tcPr>
            <w:tcW w:w="612" w:type="dxa"/>
            <w:noWrap/>
            <w:vAlign w:val="center"/>
          </w:tcPr>
          <w:p w14:paraId="4F92BE0B" w14:textId="77777777" w:rsidR="002F4EDD" w:rsidRDefault="00000000">
            <w:pPr>
              <w:jc w:val="center"/>
              <w:rPr>
                <w:rFonts w:ascii="仿宋" w:eastAsia="仿宋" w:hAnsi="仿宋" w:cs="仿宋" w:hint="eastAsia"/>
                <w:bCs/>
                <w:kern w:val="0"/>
                <w:sz w:val="20"/>
              </w:rPr>
            </w:pPr>
            <w:r>
              <w:rPr>
                <w:rFonts w:ascii="仿宋" w:eastAsia="仿宋" w:hAnsi="仿宋" w:hint="eastAsia"/>
                <w:sz w:val="20"/>
              </w:rPr>
              <w:t>2</w:t>
            </w:r>
          </w:p>
        </w:tc>
        <w:tc>
          <w:tcPr>
            <w:tcW w:w="5470" w:type="dxa"/>
            <w:vAlign w:val="center"/>
          </w:tcPr>
          <w:p w14:paraId="4B918DED" w14:textId="77777777" w:rsidR="002F4EDD" w:rsidRDefault="00000000">
            <w:pPr>
              <w:widowControl/>
              <w:rPr>
                <w:rFonts w:ascii="仿宋" w:eastAsia="仿宋" w:hAnsi="仿宋" w:hint="eastAsia"/>
                <w:sz w:val="20"/>
              </w:rPr>
            </w:pPr>
            <w:r>
              <w:rPr>
                <w:rFonts w:ascii="仿宋" w:eastAsia="仿宋" w:hAnsi="仿宋" w:hint="eastAsia"/>
                <w:sz w:val="20"/>
              </w:rPr>
              <w:t>服务</w:t>
            </w:r>
            <w:r>
              <w:rPr>
                <w:rFonts w:ascii="仿宋" w:eastAsia="仿宋" w:hAnsi="仿宋"/>
                <w:sz w:val="20"/>
              </w:rPr>
              <w:t>期内，承诺提供7*24小时响应服务，发生一、二级故障15分钟内响应，三级故障2小时内响应，四级故障4小时内响应，得2分；未承诺得0分</w:t>
            </w:r>
            <w:r>
              <w:rPr>
                <w:rFonts w:ascii="仿宋" w:eastAsia="仿宋" w:hAnsi="仿宋" w:hint="eastAsia"/>
                <w:sz w:val="20"/>
              </w:rPr>
              <w:t>。</w:t>
            </w:r>
          </w:p>
        </w:tc>
        <w:tc>
          <w:tcPr>
            <w:tcW w:w="2775" w:type="dxa"/>
            <w:noWrap/>
            <w:vAlign w:val="center"/>
          </w:tcPr>
          <w:p w14:paraId="29FEA673" w14:textId="77777777" w:rsidR="002F4EDD" w:rsidRDefault="00000000">
            <w:pPr>
              <w:rPr>
                <w:rFonts w:ascii="仿宋" w:eastAsia="仿宋" w:hAnsi="仿宋" w:hint="eastAsia"/>
                <w:sz w:val="20"/>
              </w:rPr>
            </w:pPr>
            <w:r>
              <w:rPr>
                <w:rFonts w:ascii="仿宋" w:eastAsia="仿宋" w:hAnsi="仿宋" w:hint="eastAsia"/>
                <w:sz w:val="20"/>
              </w:rPr>
              <w:t>提供承诺书。</w:t>
            </w:r>
          </w:p>
        </w:tc>
      </w:tr>
      <w:tr w:rsidR="00622CF6" w14:paraId="43167E2B" w14:textId="77777777">
        <w:trPr>
          <w:trHeight w:val="1378"/>
          <w:jc w:val="center"/>
        </w:trPr>
        <w:tc>
          <w:tcPr>
            <w:tcW w:w="678" w:type="dxa"/>
            <w:vMerge w:val="restart"/>
            <w:vAlign w:val="center"/>
          </w:tcPr>
          <w:p w14:paraId="3C27DEAE" w14:textId="77777777" w:rsidR="00622CF6" w:rsidRDefault="00622CF6" w:rsidP="00622CF6">
            <w:pPr>
              <w:widowControl/>
              <w:jc w:val="center"/>
              <w:rPr>
                <w:rFonts w:ascii="仿宋" w:eastAsia="仿宋" w:hAnsi="仿宋" w:cs="仿宋" w:hint="eastAsia"/>
                <w:b/>
                <w:bCs/>
                <w:kern w:val="0"/>
                <w:sz w:val="20"/>
              </w:rPr>
            </w:pPr>
            <w:r>
              <w:rPr>
                <w:rFonts w:ascii="仿宋" w:eastAsia="仿宋" w:hAnsi="仿宋" w:hint="eastAsia"/>
                <w:b/>
                <w:bCs/>
                <w:sz w:val="20"/>
              </w:rPr>
              <w:lastRenderedPageBreak/>
              <w:t>技术方案</w:t>
            </w:r>
          </w:p>
        </w:tc>
        <w:tc>
          <w:tcPr>
            <w:tcW w:w="1032" w:type="dxa"/>
            <w:noWrap/>
            <w:vAlign w:val="center"/>
          </w:tcPr>
          <w:p w14:paraId="60968842" w14:textId="77777777" w:rsidR="00622CF6" w:rsidRDefault="00622CF6" w:rsidP="00622CF6">
            <w:pPr>
              <w:widowControl/>
              <w:jc w:val="center"/>
              <w:rPr>
                <w:rFonts w:ascii="仿宋" w:eastAsia="仿宋" w:hAnsi="仿宋" w:cs="仿宋" w:hint="eastAsia"/>
                <w:b/>
                <w:bCs/>
                <w:sz w:val="20"/>
              </w:rPr>
            </w:pPr>
            <w:r>
              <w:rPr>
                <w:rFonts w:ascii="仿宋" w:eastAsia="仿宋" w:hAnsi="仿宋" w:cs="仿宋" w:hint="eastAsia"/>
                <w:b/>
                <w:bCs/>
                <w:sz w:val="20"/>
              </w:rPr>
              <w:t>技术能力</w:t>
            </w:r>
          </w:p>
        </w:tc>
        <w:tc>
          <w:tcPr>
            <w:tcW w:w="612" w:type="dxa"/>
            <w:noWrap/>
            <w:vAlign w:val="center"/>
          </w:tcPr>
          <w:p w14:paraId="09F63E05" w14:textId="1D0AC677" w:rsidR="00622CF6" w:rsidRDefault="00622CF6" w:rsidP="00622CF6">
            <w:pPr>
              <w:jc w:val="center"/>
              <w:rPr>
                <w:rFonts w:ascii="仿宋" w:eastAsia="仿宋" w:hAnsi="仿宋" w:cs="仿宋" w:hint="eastAsia"/>
                <w:sz w:val="20"/>
              </w:rPr>
            </w:pPr>
            <w:r>
              <w:rPr>
                <w:rFonts w:ascii="仿宋" w:eastAsia="仿宋" w:hAnsi="仿宋" w:cs="仿宋" w:hint="eastAsia"/>
                <w:sz w:val="20"/>
              </w:rPr>
              <w:t>43</w:t>
            </w:r>
          </w:p>
        </w:tc>
        <w:tc>
          <w:tcPr>
            <w:tcW w:w="5470" w:type="dxa"/>
            <w:vAlign w:val="center"/>
          </w:tcPr>
          <w:p w14:paraId="0B55A058"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应答人根据《技术规范书》相应要求，提供大模型能力演示、性能测试材料及服务保障证明。本项技术部分总分43分。</w:t>
            </w:r>
          </w:p>
          <w:p w14:paraId="6EF50012"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一、视频生成大模型（</w:t>
            </w:r>
            <w:r>
              <w:rPr>
                <w:rFonts w:ascii="仿宋" w:eastAsia="仿宋" w:hAnsi="仿宋" w:cs="仿宋"/>
                <w:sz w:val="20"/>
              </w:rPr>
              <w:t>1</w:t>
            </w:r>
            <w:r>
              <w:rPr>
                <w:rFonts w:ascii="仿宋" w:eastAsia="仿宋" w:hAnsi="仿宋" w:cs="仿宋" w:hint="eastAsia"/>
                <w:sz w:val="20"/>
              </w:rPr>
              <w:t>9分）</w:t>
            </w:r>
          </w:p>
          <w:p w14:paraId="4810A3E8"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1、模型系列覆盖（3分）：应答人所能提供的模型应覆盖当前业界领先的专业级视频生成模型（截至采购公告发布之日），应录屏演示实际API调用，并展示模型名称、模型版本和调用结果。满足得3分，不满足不得分。</w:t>
            </w:r>
          </w:p>
          <w:p w14:paraId="416CCE61"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2、API资源来源及原厂可核验性（3分）：所提供的视频生成模型API应来源于模型研发主体或者其官方第一方云服务平台，应提供溯源链路证明（合同、订单、授权书或其他可核验的采购证明），链路的中间合同主体最多不超过1家。满足得3分，否则不得分。</w:t>
            </w:r>
          </w:p>
          <w:p w14:paraId="06362394"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3、视频生成能力（10分）：</w:t>
            </w:r>
          </w:p>
          <w:p w14:paraId="65FF8B0D"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（1）基础生成能力（2分）：支持文生视频、图生视频（首帧生视频，首尾帧生视频</w:t>
            </w:r>
            <w:proofErr w:type="gramStart"/>
            <w:r>
              <w:rPr>
                <w:rFonts w:ascii="仿宋" w:eastAsia="仿宋" w:hAnsi="仿宋" w:cs="仿宋" w:hint="eastAsia"/>
                <w:sz w:val="20"/>
              </w:rPr>
              <w:t xml:space="preserve"> ）</w:t>
            </w:r>
            <w:proofErr w:type="gramEnd"/>
            <w:r>
              <w:rPr>
                <w:rFonts w:ascii="仿宋" w:eastAsia="仿宋" w:hAnsi="仿宋" w:cs="仿宋" w:hint="eastAsia"/>
                <w:sz w:val="20"/>
              </w:rPr>
              <w:t>，并支持参考图片、参考视频、参考音频多模态素材输入；支持以1080P分辨率，24fps的帧率输出且单次生成视频时长不低于15秒。应答方应选取一款视频生成模型录屏演示实际API调用，并展示模型名称、模型版本和调用结果。满足的得2分，不满足的不得分。</w:t>
            </w:r>
          </w:p>
          <w:p w14:paraId="17866AF6"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（2）复杂场景生成能力（8分）：针对以下场景选取一款模型进行实际生成演示（应提供原始生成视频，不得进行剪辑修改）：</w:t>
            </w:r>
          </w:p>
          <w:p w14:paraId="1AC20ECD"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生成两人在城市街区交谈、行走并完成互动的视频，考察多主体生成、动作及对话自然度、人物外观和场景一致性。</w:t>
            </w:r>
          </w:p>
          <w:p w14:paraId="21BE8120"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①人物一致性（2分）：视频中的两名人物能够被持续、清晰地区分；人物的面部、发型、服饰和体型在视频前后保持基本一致；未出现人物身份互换、无故消失、突然增加或明显变形等问题。满足得2分，否则不得分。</w:t>
            </w:r>
          </w:p>
          <w:p w14:paraId="246C7A60"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②动作完整性和自然度（2分）：两名人物完成提示词要求的交谈、行走和互动动作；动作顺序合理，肢体运动符合人体运动规律；未出现明显肢体粘连、穿插、滑步、瞬移、动作中断或多余肢体等问题。满足得2分，否则不得分。</w:t>
            </w:r>
          </w:p>
          <w:p w14:paraId="709F6EDE"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③多主体交互合理性（2分）：两名人物的相对位置、朝向、视线和互动关系基本合理；互动过程中未出现人物相互穿透、错误接触、物品悬空或交互对象错误等明显问题。满足得2分，否则不得分。</w:t>
            </w:r>
          </w:p>
          <w:p w14:paraId="2F6D2B1E"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④时序及画面连贯性（2分）：场景、建筑、道路、光照和镜头视角在视频前后保持基本稳定；画面无明显闪烁、跳变、场景突变、主体漂移或镜头异常抖动，整体视频连贯。满足得2分，否则不得分。</w:t>
            </w:r>
          </w:p>
          <w:p w14:paraId="0A1BEA1B"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4、服务质量（3分）：单账号接口调用服务能力不低于200 QPS，应签署服务质量承诺书，签署的得3分，不签署的不得分。</w:t>
            </w:r>
          </w:p>
          <w:p w14:paraId="6BF0B6DE"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二、文本生成大模型（12分）</w:t>
            </w:r>
          </w:p>
          <w:p w14:paraId="0CA4512C"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1、模型覆盖及旗舰模型能力（6分）</w:t>
            </w:r>
          </w:p>
          <w:p w14:paraId="16CAB577"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lastRenderedPageBreak/>
              <w:t>考核应答人可稳定提供商用API调用的旗舰模型覆盖情况。旗舰模型应符合《技术规范书》规定的旗舰模型认定要求，并由不同模型研发主体研发。</w:t>
            </w:r>
          </w:p>
          <w:p w14:paraId="79A05DB5"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（1）提供1款符合要求的旗舰模型，得3分；</w:t>
            </w:r>
          </w:p>
          <w:p w14:paraId="1837F3E6"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（2）提供2款由不同模型研发主体研发且符合要求的旗舰模型，得6分；</w:t>
            </w:r>
          </w:p>
          <w:p w14:paraId="35947DDF"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（3）未提供符合要求的旗舰模型，或者无法提供有效核验材料的，不得分。</w:t>
            </w:r>
          </w:p>
          <w:p w14:paraId="1CAD9A26"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同一基础模型的不同版本标识、推理模式、量化规格、部署方式或者API服务渠道，按照同一款模型计算，不重复计分。</w:t>
            </w:r>
          </w:p>
          <w:p w14:paraId="4AFF57E1"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应答人应对所有参与本项计分的旗舰模型分别进行实际API调用录屏演示，清晰展示模型名称、准确版本、API调用过程、关键请求参数和实际输出结果；同时提供模型研发主体发布的官方产品说明和公开评测材料。</w:t>
            </w:r>
          </w:p>
          <w:p w14:paraId="40DB35CB"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参与计分的旗舰模型应同时满足以下要求：</w:t>
            </w:r>
          </w:p>
          <w:p w14:paraId="34AB8B88"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①由模型研发主体官方定位为旗舰模型、最高能力版本或者专业增强版本；</w:t>
            </w:r>
          </w:p>
          <w:p w14:paraId="3414B1A1"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②支持不少于1M tokens的上下文长度；</w:t>
            </w:r>
          </w:p>
          <w:p w14:paraId="18EF436F"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③对于公开参数规模的混合专家模型，总参数量原则上不低于700B，单Token推理时的激活参数量原则上不低于40B；对于未公开参数规模、采用稠密架构，或者参数规模未达到上述要求但实际能力达到同等或更高水平的模型，按照《技术规范书》规定的方式综合认定；</w:t>
            </w:r>
          </w:p>
          <w:p w14:paraId="2DFAB9EA"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④在逻辑推理、代码生成和智能体任务三类能力中，至少两类能力在具有行业影响力、同期有效参评模型不少于10款的公开评测中排名前10%。</w:t>
            </w:r>
          </w:p>
          <w:p w14:paraId="06BB0F84"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2、API资源来源（2分）：所提供的文本生成模型API应来源于模型研发主体或者其官方第一方云服务平台，应提供溯源链路证明（合同、订单、授权书或其他可核验的采购证明），链路中间的合同主体最多不超过1家。满足得2分，否则不得分。</w:t>
            </w:r>
          </w:p>
          <w:p w14:paraId="514EF5B2"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3、服务质量（4分）</w:t>
            </w:r>
          </w:p>
          <w:p w14:paraId="5D349716"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应答人应从本项参与计分的旗舰模型中选取同一款模型进行以下第①项和第②项性能测试，并提供性能测试报告、测试配置、原始日志或者实际运营平台统计数据。以下每满足一项得1分，最高得4分。</w:t>
            </w:r>
          </w:p>
          <w:p w14:paraId="459516A3"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①在单请求或单路流式响应场景下，模型开始输出后的平均输出速率不低于50 tokens/s，不包含首Token等待时间。满足得1分，否则不得分。</w:t>
            </w:r>
          </w:p>
          <w:p w14:paraId="0392376C"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②在输入上下文长度不超过8K tokens、缓存未命中的条件下，首Token响应时间TTFT不高于2.5秒。满足得1分，否则不得分。</w:t>
            </w:r>
          </w:p>
          <w:p w14:paraId="1B64D34C"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③文本生成大模型API服务平台整体有效请求处理能力不低于5000 RPM，且整体Token处理能力不低于5000万TPM，两</w:t>
            </w:r>
            <w:r>
              <w:rPr>
                <w:rFonts w:ascii="仿宋" w:eastAsia="仿宋" w:hAnsi="仿宋" w:cs="仿宋" w:hint="eastAsia"/>
                <w:sz w:val="20"/>
              </w:rPr>
              <w:lastRenderedPageBreak/>
              <w:t>项指标能够在正常业务负载下同时满足。满足得1分，否则不得分。</w:t>
            </w:r>
          </w:p>
          <w:p w14:paraId="060AD2C5"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④文本生成大模型API服务平台在正常业务负载下接口请求成功率不低于99.5%。满足得1分，否则不得分。</w:t>
            </w:r>
          </w:p>
          <w:p w14:paraId="68447FF8"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三、图像生成大模型（9分）</w:t>
            </w:r>
          </w:p>
          <w:p w14:paraId="26EE33F9"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1、模型系列覆盖（</w:t>
            </w:r>
            <w:r>
              <w:rPr>
                <w:rFonts w:ascii="仿宋" w:eastAsia="仿宋" w:hAnsi="仿宋" w:cs="仿宋"/>
                <w:sz w:val="20"/>
              </w:rPr>
              <w:t>3</w:t>
            </w:r>
            <w:r>
              <w:rPr>
                <w:rFonts w:ascii="仿宋" w:eastAsia="仿宋" w:hAnsi="仿宋" w:cs="仿宋" w:hint="eastAsia"/>
                <w:sz w:val="20"/>
              </w:rPr>
              <w:t>分）：应答人所能提供的模型应覆盖当前业界领先的专业级图像生成模型，应录屏演示实际API调用，并展示模型名称、模型版本和调用结果。满足得</w:t>
            </w:r>
            <w:r>
              <w:rPr>
                <w:rFonts w:ascii="仿宋" w:eastAsia="仿宋" w:hAnsi="仿宋" w:cs="仿宋"/>
                <w:sz w:val="20"/>
              </w:rPr>
              <w:t>3</w:t>
            </w:r>
            <w:r>
              <w:rPr>
                <w:rFonts w:ascii="仿宋" w:eastAsia="仿宋" w:hAnsi="仿宋" w:cs="仿宋" w:hint="eastAsia"/>
                <w:sz w:val="20"/>
              </w:rPr>
              <w:t>分，不满足不得分。</w:t>
            </w:r>
          </w:p>
          <w:p w14:paraId="1B4C99FF"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2、图像生成能力（5分）：应答方应选取一款图像生成模型录屏演示实际API调用，并展示模型名称、模型版本和调用结果</w:t>
            </w:r>
          </w:p>
          <w:p w14:paraId="64BC8A80"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（1）支持文生图，支持上传一张或多张参考图，并能够较好保持参考主体特征、视觉风格和画面语义一致。满足得1分，不满足不得分。</w:t>
            </w:r>
          </w:p>
          <w:p w14:paraId="301A398D"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（2）支持根据自然语言指令进行局部区域编辑，编辑后保持主体结构和视觉连贯性。满足得1分，不满足不得分。</w:t>
            </w:r>
          </w:p>
          <w:p w14:paraId="791EA305"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3）基于商品图片生成宣传海报场景进行生图录屏演示，包含中文商品名称、宣传语及价格等信息，考察商品外观和品牌标识一致性、中文文字准确性，以及构图、光影、材质和细节表现。商品主体外观无明显变形，品牌标识与参考图基本一致，中文商品名称、宣传语及价格准确可辨，画面构图完整，未出现明显错字、乱码、元素重叠或结构异常。上述要求全部满足得3分，否则不得分。</w:t>
            </w:r>
          </w:p>
          <w:p w14:paraId="2760FDFD"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3、服务质量（1分）</w:t>
            </w:r>
          </w:p>
          <w:p w14:paraId="4EFCA076"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单账号场景下，任务提交、状态查询及结果获取等接口调用能力并发路数应不低于200 QPS；正常业务负载下，接口请求成功率和月度服务可用性均应不低于99.5%，应签署服务质量承诺书，签署的得1分，不签署的不得分。</w:t>
            </w:r>
          </w:p>
          <w:p w14:paraId="4CA4A8A1"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四、音频大模型（3分）</w:t>
            </w:r>
          </w:p>
          <w:p w14:paraId="63E6198E"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1、语音识别ASR能力（1分）：以下全部满足得1分，不满足不得分</w:t>
            </w:r>
          </w:p>
          <w:p w14:paraId="0D6F3A1A"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（1）支持中英文混合语音识别，支持实时流式识别、离线文件识别；</w:t>
            </w:r>
          </w:p>
          <w:p w14:paraId="7F149EEE"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（2）支持自动断句、说话人分离、热词定制。</w:t>
            </w:r>
          </w:p>
          <w:p w14:paraId="55220619"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应录屏演示实际API调用，并展示模型名称、模型版本和调用结果。</w:t>
            </w:r>
          </w:p>
          <w:p w14:paraId="1550CDD1"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2、语音合成TTS能力（1分）：以下全部满足得1分，不满足不得分：</w:t>
            </w:r>
          </w:p>
          <w:p w14:paraId="57F49182"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 xml:space="preserve">（1）支持普通话合成，支持语速、音调和情感控制，合成结果自然、清晰、流畅。 </w:t>
            </w:r>
          </w:p>
          <w:p w14:paraId="5C7F061C"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（2）支持多种系统音色、音色复刻。</w:t>
            </w:r>
          </w:p>
          <w:p w14:paraId="101A50DE"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应录屏演示实际API调用，并展示模型名称、模型版本和调用结果。</w:t>
            </w:r>
          </w:p>
          <w:p w14:paraId="5C9D0F51" w14:textId="77777777" w:rsidR="00622CF6" w:rsidRDefault="00622CF6" w:rsidP="00622CF6">
            <w:pPr>
              <w:widowControl/>
              <w:rPr>
                <w:rFonts w:ascii="仿宋" w:eastAsia="仿宋" w:hAnsi="仿宋" w:cs="仿宋" w:hint="eastAsia"/>
                <w:sz w:val="20"/>
              </w:rPr>
            </w:pPr>
            <w:r>
              <w:rPr>
                <w:rFonts w:ascii="仿宋" w:eastAsia="仿宋" w:hAnsi="仿宋" w:cs="仿宋" w:hint="eastAsia"/>
                <w:sz w:val="20"/>
              </w:rPr>
              <w:t>3、服务质量（1分）</w:t>
            </w:r>
          </w:p>
          <w:p w14:paraId="5BD6954C" w14:textId="106178E3" w:rsidR="00622CF6" w:rsidRDefault="00622CF6" w:rsidP="00622CF6">
            <w:pPr>
              <w:widowControl/>
              <w:rPr>
                <w:rFonts w:ascii="仿宋" w:eastAsia="仿宋" w:hAnsi="仿宋" w:cs="仿宋" w:hint="eastAsia"/>
                <w:sz w:val="20"/>
              </w:rPr>
            </w:pPr>
            <w:r>
              <w:rPr>
                <w:rFonts w:ascii="仿宋" w:eastAsia="仿宋" w:hAnsi="仿宋" w:cs="仿宋" w:hint="eastAsia"/>
                <w:sz w:val="20"/>
              </w:rPr>
              <w:lastRenderedPageBreak/>
              <w:t>单账号场景下，任务提交、状态查询及结果获取等接口调用能力应不低于200 QPS；正常业务负载下，接口请求成功率和月度服务可用性均应不低于99.5%，应签署服务质量承诺书，签署的得1分，不签署的不得分。</w:t>
            </w:r>
          </w:p>
        </w:tc>
        <w:tc>
          <w:tcPr>
            <w:tcW w:w="2775" w:type="dxa"/>
            <w:shd w:val="clear" w:color="000000" w:fill="auto"/>
            <w:noWrap/>
          </w:tcPr>
          <w:p w14:paraId="522A7D51" w14:textId="77777777" w:rsidR="00622CF6" w:rsidRDefault="00622CF6" w:rsidP="00622CF6">
            <w:pPr>
              <w:rPr>
                <w:rFonts w:ascii="仿宋" w:eastAsia="仿宋" w:hAnsi="仿宋" w:cs="仿宋" w:hint="eastAsia"/>
                <w:sz w:val="20"/>
              </w:rPr>
            </w:pPr>
            <w:r>
              <w:rPr>
                <w:rFonts w:ascii="仿宋" w:eastAsia="仿宋" w:hAnsi="仿宋" w:cs="仿宋" w:hint="eastAsia"/>
                <w:kern w:val="0"/>
                <w:sz w:val="20"/>
                <w:lang w:bidi="ar"/>
              </w:rPr>
              <w:lastRenderedPageBreak/>
              <w:t>提供技术能力描述对应证明材料</w:t>
            </w:r>
          </w:p>
        </w:tc>
      </w:tr>
      <w:tr w:rsidR="00622CF6" w14:paraId="1C49B63C" w14:textId="77777777">
        <w:trPr>
          <w:trHeight w:val="465"/>
          <w:jc w:val="center"/>
        </w:trPr>
        <w:tc>
          <w:tcPr>
            <w:tcW w:w="678" w:type="dxa"/>
            <w:vMerge/>
            <w:vAlign w:val="center"/>
          </w:tcPr>
          <w:p w14:paraId="50F3071F" w14:textId="77777777" w:rsidR="00622CF6" w:rsidRDefault="00622CF6" w:rsidP="00622CF6">
            <w:pPr>
              <w:widowControl/>
              <w:jc w:val="center"/>
              <w:rPr>
                <w:rFonts w:ascii="仿宋" w:eastAsia="仿宋" w:hAnsi="仿宋" w:cs="仿宋" w:hint="eastAsia"/>
                <w:b/>
                <w:bCs/>
                <w:kern w:val="0"/>
                <w:sz w:val="20"/>
              </w:rPr>
            </w:pPr>
          </w:p>
        </w:tc>
        <w:tc>
          <w:tcPr>
            <w:tcW w:w="1032" w:type="dxa"/>
            <w:shd w:val="clear" w:color="auto" w:fill="FFFF00"/>
            <w:noWrap/>
            <w:vAlign w:val="center"/>
          </w:tcPr>
          <w:p w14:paraId="1664FF64" w14:textId="77777777" w:rsidR="00622CF6" w:rsidRDefault="00622CF6" w:rsidP="00622CF6">
            <w:pPr>
              <w:widowControl/>
              <w:jc w:val="center"/>
              <w:rPr>
                <w:rFonts w:ascii="仿宋" w:eastAsia="仿宋" w:hAnsi="仿宋" w:hint="eastAsia"/>
                <w:b/>
                <w:bCs/>
                <w:sz w:val="20"/>
              </w:rPr>
            </w:pPr>
            <w:r>
              <w:rPr>
                <w:rFonts w:ascii="仿宋" w:eastAsia="仿宋" w:hAnsi="仿宋" w:hint="eastAsia"/>
                <w:b/>
                <w:bCs/>
                <w:sz w:val="20"/>
              </w:rPr>
              <w:t>项目理解</w:t>
            </w:r>
          </w:p>
        </w:tc>
        <w:tc>
          <w:tcPr>
            <w:tcW w:w="612" w:type="dxa"/>
            <w:shd w:val="clear" w:color="auto" w:fill="FFFF00"/>
            <w:noWrap/>
            <w:vAlign w:val="center"/>
          </w:tcPr>
          <w:p w14:paraId="3BA64B9D" w14:textId="77777777" w:rsidR="00622CF6" w:rsidRDefault="00622CF6" w:rsidP="00622CF6">
            <w:pPr>
              <w:jc w:val="center"/>
              <w:rPr>
                <w:rFonts w:ascii="仿宋" w:eastAsia="仿宋" w:hAnsi="仿宋" w:hint="eastAsia"/>
                <w:sz w:val="20"/>
              </w:rPr>
            </w:pPr>
            <w:r>
              <w:rPr>
                <w:rFonts w:ascii="仿宋" w:eastAsia="仿宋" w:hAnsi="仿宋" w:hint="eastAsia"/>
                <w:sz w:val="20"/>
              </w:rPr>
              <w:t>5</w:t>
            </w:r>
          </w:p>
        </w:tc>
        <w:tc>
          <w:tcPr>
            <w:tcW w:w="5470" w:type="dxa"/>
            <w:shd w:val="clear" w:color="auto" w:fill="FFFF00"/>
            <w:vAlign w:val="center"/>
          </w:tcPr>
          <w:p w14:paraId="75AF86EC" w14:textId="77777777" w:rsidR="00622CF6" w:rsidRDefault="00622CF6" w:rsidP="00622CF6">
            <w:pPr>
              <w:widowControl/>
              <w:rPr>
                <w:rFonts w:ascii="仿宋" w:eastAsia="仿宋" w:hAnsi="仿宋" w:hint="eastAsia"/>
                <w:sz w:val="20"/>
              </w:rPr>
            </w:pPr>
            <w:r>
              <w:rPr>
                <w:rFonts w:ascii="仿宋" w:eastAsia="仿宋" w:hAnsi="仿宋" w:hint="eastAsia"/>
                <w:sz w:val="20"/>
              </w:rPr>
              <w:t>根据应答单位对需求背景、行业现状、项目目标和意义的认识阐述，根据其理解深入程度、分析到位程度、与本项目的针对性打分，项目理解深刻，分析到位得(3,5]分；项目理解深度不够得(1,3]分；分析理解针对性不高得[0,1]分。</w:t>
            </w:r>
          </w:p>
        </w:tc>
        <w:tc>
          <w:tcPr>
            <w:tcW w:w="2775" w:type="dxa"/>
            <w:noWrap/>
            <w:vAlign w:val="center"/>
          </w:tcPr>
          <w:p w14:paraId="69D7F11C" w14:textId="77777777" w:rsidR="00622CF6" w:rsidRDefault="00622CF6" w:rsidP="00622CF6">
            <w:pPr>
              <w:widowControl/>
              <w:rPr>
                <w:rFonts w:ascii="仿宋" w:eastAsia="仿宋" w:hAnsi="仿宋" w:cs="仿宋" w:hint="eastAsia"/>
                <w:kern w:val="0"/>
                <w:sz w:val="20"/>
              </w:rPr>
            </w:pPr>
          </w:p>
        </w:tc>
      </w:tr>
      <w:tr w:rsidR="00622CF6" w14:paraId="1F8125C7" w14:textId="77777777">
        <w:trPr>
          <w:trHeight w:val="465"/>
          <w:jc w:val="center"/>
        </w:trPr>
        <w:tc>
          <w:tcPr>
            <w:tcW w:w="678" w:type="dxa"/>
            <w:vMerge/>
            <w:vAlign w:val="center"/>
          </w:tcPr>
          <w:p w14:paraId="52E0E753" w14:textId="77777777" w:rsidR="00622CF6" w:rsidRDefault="00622CF6" w:rsidP="00622CF6">
            <w:pPr>
              <w:widowControl/>
              <w:jc w:val="center"/>
              <w:rPr>
                <w:rFonts w:ascii="仿宋" w:eastAsia="仿宋" w:hAnsi="仿宋" w:cs="仿宋" w:hint="eastAsia"/>
                <w:b/>
                <w:bCs/>
                <w:kern w:val="0"/>
                <w:sz w:val="20"/>
              </w:rPr>
            </w:pPr>
          </w:p>
        </w:tc>
        <w:tc>
          <w:tcPr>
            <w:tcW w:w="1032" w:type="dxa"/>
            <w:shd w:val="clear" w:color="auto" w:fill="FFFF00"/>
            <w:noWrap/>
            <w:vAlign w:val="center"/>
          </w:tcPr>
          <w:p w14:paraId="19173897" w14:textId="77777777" w:rsidR="00622CF6" w:rsidRDefault="00622CF6" w:rsidP="00622CF6">
            <w:pPr>
              <w:widowControl/>
              <w:jc w:val="center"/>
              <w:rPr>
                <w:rFonts w:ascii="仿宋" w:eastAsia="仿宋" w:hAnsi="仿宋" w:hint="eastAsia"/>
                <w:b/>
                <w:bCs/>
                <w:sz w:val="20"/>
              </w:rPr>
            </w:pPr>
            <w:r>
              <w:rPr>
                <w:rFonts w:ascii="仿宋" w:eastAsia="仿宋" w:hAnsi="仿宋" w:hint="eastAsia"/>
                <w:b/>
                <w:bCs/>
                <w:sz w:val="20"/>
              </w:rPr>
              <w:t>整体服务方案</w:t>
            </w:r>
          </w:p>
        </w:tc>
        <w:tc>
          <w:tcPr>
            <w:tcW w:w="612" w:type="dxa"/>
            <w:shd w:val="clear" w:color="auto" w:fill="FFFF00"/>
            <w:noWrap/>
            <w:vAlign w:val="center"/>
          </w:tcPr>
          <w:p w14:paraId="2AE2BFBD" w14:textId="77777777" w:rsidR="00622CF6" w:rsidRDefault="00622CF6" w:rsidP="00622CF6">
            <w:pPr>
              <w:jc w:val="center"/>
              <w:rPr>
                <w:rFonts w:ascii="仿宋" w:eastAsia="仿宋" w:hAnsi="仿宋" w:hint="eastAsia"/>
                <w:sz w:val="20"/>
              </w:rPr>
            </w:pPr>
            <w:r>
              <w:rPr>
                <w:rFonts w:ascii="仿宋" w:eastAsia="仿宋" w:hAnsi="仿宋" w:hint="eastAsia"/>
                <w:sz w:val="20"/>
              </w:rPr>
              <w:t>10</w:t>
            </w:r>
          </w:p>
        </w:tc>
        <w:tc>
          <w:tcPr>
            <w:tcW w:w="5470" w:type="dxa"/>
            <w:shd w:val="clear" w:color="auto" w:fill="FFFF00"/>
            <w:vAlign w:val="center"/>
          </w:tcPr>
          <w:p w14:paraId="57E2890E" w14:textId="77777777" w:rsidR="00622CF6" w:rsidRDefault="00622CF6" w:rsidP="00622CF6">
            <w:pPr>
              <w:widowControl/>
              <w:rPr>
                <w:rFonts w:ascii="仿宋" w:eastAsia="仿宋" w:hAnsi="仿宋" w:hint="eastAsia"/>
                <w:sz w:val="20"/>
              </w:rPr>
            </w:pPr>
            <w:r>
              <w:rPr>
                <w:rFonts w:ascii="仿宋" w:eastAsia="仿宋" w:hAnsi="仿宋" w:hint="eastAsia"/>
                <w:sz w:val="20"/>
              </w:rPr>
              <w:t>整体服务方案优良，完整详实，对本项目有深入详细完整的工作计划和安排，思路清晰，方法科学，安排有序，可操作性强，能有效满足项目需求，得（7,10]分；整体服务方案基本完整，工作计划和安排基本清晰，有一定可操作性，得（4,7]分；整体服务方案一般，工作计划和安排较为简单，可操作性一般，得（2,4]分；整体服务方案简单，工作计划和安排较为粗略，可操作性欠佳得[0,2]分。</w:t>
            </w:r>
          </w:p>
        </w:tc>
        <w:tc>
          <w:tcPr>
            <w:tcW w:w="2775" w:type="dxa"/>
            <w:noWrap/>
            <w:vAlign w:val="center"/>
          </w:tcPr>
          <w:p w14:paraId="28B0BE4C" w14:textId="77777777" w:rsidR="00622CF6" w:rsidRDefault="00622CF6" w:rsidP="00622CF6">
            <w:pPr>
              <w:widowControl/>
              <w:rPr>
                <w:rFonts w:ascii="仿宋" w:eastAsia="仿宋" w:hAnsi="仿宋" w:cs="仿宋" w:hint="eastAsia"/>
                <w:kern w:val="0"/>
                <w:sz w:val="20"/>
              </w:rPr>
            </w:pPr>
          </w:p>
        </w:tc>
      </w:tr>
      <w:tr w:rsidR="00622CF6" w14:paraId="10E5D150" w14:textId="77777777">
        <w:trPr>
          <w:trHeight w:val="465"/>
          <w:jc w:val="center"/>
        </w:trPr>
        <w:tc>
          <w:tcPr>
            <w:tcW w:w="678" w:type="dxa"/>
            <w:vMerge/>
            <w:vAlign w:val="center"/>
          </w:tcPr>
          <w:p w14:paraId="389317AA" w14:textId="77777777" w:rsidR="00622CF6" w:rsidRDefault="00622CF6" w:rsidP="00622CF6">
            <w:pPr>
              <w:widowControl/>
              <w:jc w:val="center"/>
              <w:rPr>
                <w:rFonts w:ascii="仿宋" w:eastAsia="仿宋" w:hAnsi="仿宋" w:cs="仿宋" w:hint="eastAsia"/>
                <w:b/>
                <w:bCs/>
                <w:kern w:val="0"/>
                <w:sz w:val="20"/>
              </w:rPr>
            </w:pPr>
          </w:p>
        </w:tc>
        <w:tc>
          <w:tcPr>
            <w:tcW w:w="1032" w:type="dxa"/>
            <w:shd w:val="clear" w:color="auto" w:fill="FFFF00"/>
            <w:noWrap/>
            <w:vAlign w:val="center"/>
          </w:tcPr>
          <w:p w14:paraId="7DFF9C76" w14:textId="77777777" w:rsidR="00622CF6" w:rsidRDefault="00622CF6" w:rsidP="00622CF6">
            <w:pPr>
              <w:widowControl/>
              <w:jc w:val="center"/>
              <w:rPr>
                <w:rFonts w:ascii="仿宋" w:eastAsia="仿宋" w:hAnsi="仿宋" w:hint="eastAsia"/>
                <w:b/>
                <w:bCs/>
                <w:sz w:val="20"/>
              </w:rPr>
            </w:pPr>
            <w:r>
              <w:rPr>
                <w:rFonts w:ascii="仿宋" w:eastAsia="仿宋" w:hAnsi="仿宋" w:hint="eastAsia"/>
                <w:b/>
                <w:bCs/>
                <w:sz w:val="20"/>
              </w:rPr>
              <w:t>技术培训及转移</w:t>
            </w:r>
          </w:p>
        </w:tc>
        <w:tc>
          <w:tcPr>
            <w:tcW w:w="612" w:type="dxa"/>
            <w:shd w:val="clear" w:color="auto" w:fill="FFFF00"/>
            <w:noWrap/>
            <w:vAlign w:val="center"/>
          </w:tcPr>
          <w:p w14:paraId="5222548D" w14:textId="77777777" w:rsidR="00622CF6" w:rsidRDefault="00622CF6" w:rsidP="00622CF6">
            <w:pPr>
              <w:jc w:val="center"/>
              <w:rPr>
                <w:rFonts w:ascii="仿宋" w:eastAsia="仿宋" w:hAnsi="仿宋" w:hint="eastAsia"/>
                <w:sz w:val="20"/>
              </w:rPr>
            </w:pPr>
            <w:r>
              <w:rPr>
                <w:rFonts w:ascii="仿宋" w:eastAsia="仿宋" w:hAnsi="仿宋" w:hint="eastAsia"/>
                <w:sz w:val="20"/>
              </w:rPr>
              <w:t>5</w:t>
            </w:r>
          </w:p>
        </w:tc>
        <w:tc>
          <w:tcPr>
            <w:tcW w:w="5470" w:type="dxa"/>
            <w:shd w:val="clear" w:color="auto" w:fill="FFFF00"/>
            <w:vAlign w:val="center"/>
          </w:tcPr>
          <w:p w14:paraId="0A127E77" w14:textId="77777777" w:rsidR="00622CF6" w:rsidRDefault="00622CF6" w:rsidP="00622CF6">
            <w:pPr>
              <w:widowControl/>
              <w:rPr>
                <w:rFonts w:ascii="仿宋" w:eastAsia="仿宋" w:hAnsi="仿宋" w:hint="eastAsia"/>
                <w:sz w:val="20"/>
              </w:rPr>
            </w:pPr>
            <w:r>
              <w:rPr>
                <w:rFonts w:ascii="仿宋" w:eastAsia="仿宋" w:hAnsi="仿宋" w:hint="eastAsia"/>
                <w:sz w:val="20"/>
              </w:rPr>
              <w:t>对项目有周期性培训计划，培训内容适配本项目专业，培训对象覆盖项目相关人员，得（3,5]分；培训计划一般，内容基本适配本专业，得（1,3]分；培训计划过于简单或无计划，得[0,1]分。</w:t>
            </w:r>
          </w:p>
        </w:tc>
        <w:tc>
          <w:tcPr>
            <w:tcW w:w="2775" w:type="dxa"/>
            <w:noWrap/>
            <w:vAlign w:val="center"/>
          </w:tcPr>
          <w:p w14:paraId="028A5B86" w14:textId="77777777" w:rsidR="00622CF6" w:rsidRDefault="00622CF6" w:rsidP="00622CF6">
            <w:pPr>
              <w:widowControl/>
              <w:rPr>
                <w:rFonts w:ascii="仿宋" w:eastAsia="仿宋" w:hAnsi="仿宋" w:hint="eastAsia"/>
                <w:kern w:val="0"/>
                <w:sz w:val="20"/>
              </w:rPr>
            </w:pPr>
          </w:p>
        </w:tc>
      </w:tr>
      <w:tr w:rsidR="00622CF6" w14:paraId="7CFCB407" w14:textId="77777777">
        <w:trPr>
          <w:trHeight w:val="465"/>
          <w:jc w:val="center"/>
        </w:trPr>
        <w:tc>
          <w:tcPr>
            <w:tcW w:w="678" w:type="dxa"/>
            <w:vAlign w:val="center"/>
          </w:tcPr>
          <w:p w14:paraId="5B9BB54B" w14:textId="77777777" w:rsidR="00622CF6" w:rsidRDefault="00622CF6" w:rsidP="00622CF6">
            <w:pPr>
              <w:widowControl/>
              <w:jc w:val="center"/>
              <w:rPr>
                <w:rFonts w:ascii="仿宋" w:eastAsia="仿宋" w:hAnsi="仿宋" w:cs="仿宋" w:hint="eastAsia"/>
                <w:b/>
                <w:bCs/>
                <w:kern w:val="0"/>
                <w:sz w:val="20"/>
              </w:rPr>
            </w:pPr>
            <w:r>
              <w:rPr>
                <w:rFonts w:ascii="仿宋" w:eastAsia="仿宋" w:hAnsi="仿宋" w:hint="eastAsia"/>
                <w:b/>
                <w:bCs/>
                <w:sz w:val="20"/>
              </w:rPr>
              <w:t>经验业绩</w:t>
            </w:r>
          </w:p>
        </w:tc>
        <w:tc>
          <w:tcPr>
            <w:tcW w:w="1032" w:type="dxa"/>
            <w:noWrap/>
            <w:vAlign w:val="center"/>
          </w:tcPr>
          <w:p w14:paraId="7F86D6CF" w14:textId="77777777" w:rsidR="00622CF6" w:rsidRDefault="00622CF6" w:rsidP="00622CF6">
            <w:pPr>
              <w:widowControl/>
              <w:jc w:val="center"/>
              <w:rPr>
                <w:rFonts w:ascii="仿宋" w:eastAsia="仿宋" w:hAnsi="仿宋" w:cs="仿宋" w:hint="eastAsia"/>
                <w:b/>
                <w:bCs/>
                <w:sz w:val="20"/>
              </w:rPr>
            </w:pPr>
            <w:r>
              <w:rPr>
                <w:rFonts w:ascii="仿宋" w:eastAsia="仿宋" w:hAnsi="仿宋" w:hint="eastAsia"/>
                <w:b/>
                <w:bCs/>
                <w:sz w:val="20"/>
              </w:rPr>
              <w:t>经验业绩</w:t>
            </w:r>
          </w:p>
        </w:tc>
        <w:tc>
          <w:tcPr>
            <w:tcW w:w="612" w:type="dxa"/>
            <w:noWrap/>
            <w:vAlign w:val="center"/>
          </w:tcPr>
          <w:p w14:paraId="72EBB7DC" w14:textId="77777777" w:rsidR="00622CF6" w:rsidRDefault="00622CF6" w:rsidP="00622CF6">
            <w:pPr>
              <w:jc w:val="center"/>
              <w:rPr>
                <w:rFonts w:ascii="仿宋" w:eastAsia="仿宋" w:hAnsi="仿宋" w:hint="eastAsia"/>
                <w:sz w:val="20"/>
              </w:rPr>
            </w:pPr>
            <w:r>
              <w:rPr>
                <w:rFonts w:ascii="仿宋" w:eastAsia="仿宋" w:hAnsi="仿宋" w:hint="eastAsia"/>
                <w:sz w:val="20"/>
              </w:rPr>
              <w:t>20</w:t>
            </w:r>
          </w:p>
        </w:tc>
        <w:tc>
          <w:tcPr>
            <w:tcW w:w="5470" w:type="dxa"/>
            <w:vAlign w:val="center"/>
          </w:tcPr>
          <w:p w14:paraId="57F96C14" w14:textId="77777777" w:rsidR="00622CF6" w:rsidRDefault="00622CF6" w:rsidP="00622CF6">
            <w:pPr>
              <w:widowControl/>
              <w:rPr>
                <w:rFonts w:ascii="仿宋" w:eastAsia="仿宋" w:hAnsi="仿宋" w:hint="eastAsia"/>
                <w:sz w:val="20"/>
              </w:rPr>
            </w:pPr>
            <w:r>
              <w:rPr>
                <w:rFonts w:ascii="仿宋" w:eastAsia="仿宋" w:hAnsi="仿宋" w:hint="eastAsia"/>
                <w:sz w:val="20"/>
              </w:rPr>
              <w:t>对2023年1月1日（以合同签订时间为准）至公告发布之日，应答人的同类合同业绩进行评审（同类指：合同名称或关键条款或主要内容包含“人工智能”或“AI”或“大模型建设”或“大模型云服务”或“大模型API调用服务”或“AI能力平台”或“AI智算服务”关键字的项目）：</w:t>
            </w:r>
          </w:p>
          <w:p w14:paraId="16B43088" w14:textId="77777777" w:rsidR="00622CF6" w:rsidRDefault="00622CF6" w:rsidP="00622CF6">
            <w:pPr>
              <w:widowControl/>
              <w:rPr>
                <w:rFonts w:ascii="仿宋" w:eastAsia="仿宋" w:hAnsi="仿宋" w:hint="eastAsia"/>
                <w:sz w:val="20"/>
              </w:rPr>
            </w:pPr>
            <w:r>
              <w:rPr>
                <w:rFonts w:ascii="仿宋" w:eastAsia="仿宋" w:hAnsi="仿宋" w:hint="eastAsia"/>
                <w:sz w:val="20"/>
              </w:rPr>
              <w:t>a）按照有效合同含税金额累加</w:t>
            </w:r>
          </w:p>
          <w:p w14:paraId="19B68F26" w14:textId="77777777" w:rsidR="00622CF6" w:rsidRDefault="00622CF6" w:rsidP="00622CF6">
            <w:pPr>
              <w:widowControl/>
              <w:rPr>
                <w:rFonts w:ascii="仿宋" w:eastAsia="仿宋" w:hAnsi="仿宋" w:hint="eastAsia"/>
                <w:sz w:val="20"/>
              </w:rPr>
            </w:pPr>
            <w:r>
              <w:rPr>
                <w:rFonts w:ascii="仿宋" w:eastAsia="仿宋" w:hAnsi="仿宋" w:hint="eastAsia"/>
                <w:sz w:val="20"/>
              </w:rPr>
              <w:t>累计合同金额＞200万元，得3分；</w:t>
            </w:r>
          </w:p>
          <w:p w14:paraId="0B9E720F" w14:textId="77777777" w:rsidR="00622CF6" w:rsidRDefault="00622CF6" w:rsidP="00622CF6">
            <w:pPr>
              <w:widowControl/>
              <w:rPr>
                <w:rFonts w:ascii="仿宋" w:eastAsia="仿宋" w:hAnsi="仿宋" w:hint="eastAsia"/>
                <w:sz w:val="20"/>
              </w:rPr>
            </w:pPr>
            <w:r>
              <w:rPr>
                <w:rFonts w:ascii="仿宋" w:eastAsia="仿宋" w:hAnsi="仿宋" w:hint="eastAsia"/>
                <w:sz w:val="20"/>
              </w:rPr>
              <w:t>累计合同金额在200万元基础上，每增加100万元，再得1分，满分12分。</w:t>
            </w:r>
          </w:p>
          <w:p w14:paraId="588A6757" w14:textId="77777777" w:rsidR="00622CF6" w:rsidRDefault="00622CF6" w:rsidP="00622CF6">
            <w:pPr>
              <w:widowControl/>
              <w:rPr>
                <w:rFonts w:ascii="仿宋" w:eastAsia="仿宋" w:hAnsi="仿宋" w:hint="eastAsia"/>
                <w:sz w:val="20"/>
              </w:rPr>
            </w:pPr>
            <w:r>
              <w:rPr>
                <w:rFonts w:ascii="仿宋" w:eastAsia="仿宋" w:hAnsi="仿宋" w:hint="eastAsia"/>
                <w:sz w:val="20"/>
              </w:rPr>
              <w:t>b）单份有效合同含税金额＞200万元的每份得2分，满分8分。</w:t>
            </w:r>
          </w:p>
          <w:p w14:paraId="50AB4FCB" w14:textId="77777777" w:rsidR="00622CF6" w:rsidRDefault="00622CF6" w:rsidP="00622CF6">
            <w:pPr>
              <w:widowControl/>
              <w:rPr>
                <w:rFonts w:ascii="仿宋" w:eastAsia="仿宋" w:hAnsi="仿宋" w:cs="仿宋" w:hint="eastAsia"/>
                <w:sz w:val="20"/>
              </w:rPr>
            </w:pPr>
            <w:r>
              <w:rPr>
                <w:rFonts w:ascii="仿宋" w:eastAsia="仿宋" w:hAnsi="仿宋" w:hint="eastAsia"/>
                <w:sz w:val="20"/>
              </w:rPr>
              <w:t>同一份有效合同业绩以上两条评分项可重复得分。</w:t>
            </w:r>
          </w:p>
        </w:tc>
        <w:tc>
          <w:tcPr>
            <w:tcW w:w="2775" w:type="dxa"/>
            <w:noWrap/>
            <w:vAlign w:val="center"/>
          </w:tcPr>
          <w:p w14:paraId="5720FAC2" w14:textId="77777777" w:rsidR="00622CF6" w:rsidRDefault="00622CF6" w:rsidP="00622CF6">
            <w:pPr>
              <w:widowControl/>
              <w:rPr>
                <w:rFonts w:ascii="仿宋" w:eastAsia="仿宋" w:hAnsi="仿宋" w:cs="仿宋" w:hint="eastAsia"/>
                <w:kern w:val="0"/>
                <w:sz w:val="20"/>
                <w:lang w:bidi="ar"/>
              </w:rPr>
            </w:pPr>
            <w:r>
              <w:rPr>
                <w:rFonts w:ascii="仿宋" w:eastAsia="仿宋" w:hAnsi="仿宋" w:cs="仿宋" w:hint="eastAsia"/>
                <w:kern w:val="0"/>
                <w:sz w:val="20"/>
                <w:lang w:bidi="ar"/>
              </w:rPr>
              <w:t>1、提供合同关键页扫描件【合同首页、金额页（合同无具体金额予以认可）、体现合同主要内容页、签字盖章页】；</w:t>
            </w:r>
          </w:p>
          <w:p w14:paraId="2740C06A" w14:textId="77777777" w:rsidR="00622CF6" w:rsidRDefault="00622CF6" w:rsidP="00622CF6">
            <w:pPr>
              <w:widowControl/>
              <w:rPr>
                <w:rFonts w:ascii="仿宋" w:eastAsia="仿宋" w:hAnsi="仿宋" w:cs="仿宋" w:hint="eastAsia"/>
                <w:kern w:val="0"/>
                <w:sz w:val="20"/>
                <w:lang w:bidi="ar"/>
              </w:rPr>
            </w:pPr>
            <w:r>
              <w:rPr>
                <w:rFonts w:ascii="仿宋" w:eastAsia="仿宋" w:hAnsi="仿宋" w:cs="仿宋" w:hint="eastAsia"/>
                <w:kern w:val="0"/>
                <w:sz w:val="20"/>
                <w:lang w:bidi="ar"/>
              </w:rPr>
              <w:t>2、提供与该合同相对应的【一张】发票电子文档及该发票在国家或地方税务局网址的查询结果截图，所截图片上必须包括相关查询网页的地址栏，否则该发票无效；发票无效或未提供发票的对应合同不计入。</w:t>
            </w:r>
          </w:p>
          <w:p w14:paraId="7A227779" w14:textId="77777777" w:rsidR="00622CF6" w:rsidRDefault="00622CF6" w:rsidP="00622CF6">
            <w:pPr>
              <w:widowControl/>
              <w:rPr>
                <w:rFonts w:ascii="仿宋" w:eastAsia="仿宋" w:hAnsi="仿宋" w:cs="仿宋" w:hint="eastAsia"/>
                <w:kern w:val="0"/>
                <w:sz w:val="20"/>
                <w:lang w:bidi="ar"/>
              </w:rPr>
            </w:pPr>
            <w:r>
              <w:rPr>
                <w:rFonts w:ascii="仿宋" w:eastAsia="仿宋" w:hAnsi="仿宋" w:cs="仿宋" w:hint="eastAsia"/>
                <w:kern w:val="0"/>
                <w:sz w:val="20"/>
                <w:lang w:bidi="ar"/>
              </w:rPr>
              <w:t>3、合同无具体金额的，以有效发票总金额为准；</w:t>
            </w:r>
          </w:p>
          <w:p w14:paraId="174E5C6A" w14:textId="77777777" w:rsidR="00622CF6" w:rsidRDefault="00622CF6" w:rsidP="00622CF6">
            <w:pPr>
              <w:widowControl/>
              <w:rPr>
                <w:rFonts w:ascii="仿宋" w:eastAsia="仿宋" w:hAnsi="仿宋" w:cs="仿宋" w:hint="eastAsia"/>
                <w:kern w:val="0"/>
                <w:sz w:val="20"/>
                <w:lang w:bidi="ar"/>
              </w:rPr>
            </w:pPr>
            <w:r>
              <w:rPr>
                <w:rFonts w:ascii="仿宋" w:eastAsia="仿宋" w:hAnsi="仿宋" w:cs="仿宋" w:hint="eastAsia"/>
                <w:kern w:val="0"/>
                <w:sz w:val="20"/>
                <w:lang w:bidi="ar"/>
              </w:rPr>
              <w:t>4、发票有效性的基本要素至少包括：1）购买方和销售方须与有效合同签章的双方单位名称（含分支机构）对应；2）产品名称应与对应有效合同的产品类型相关或者一致，否则不计入业绩；3）发票开具时间须在20【23】年【1】月【1】日和【应答截止之日】之间，且不早于合同生效日期；</w:t>
            </w:r>
          </w:p>
          <w:p w14:paraId="343C00F0" w14:textId="77777777" w:rsidR="00622CF6" w:rsidRDefault="00622CF6" w:rsidP="00622CF6">
            <w:pPr>
              <w:widowControl/>
              <w:rPr>
                <w:rFonts w:ascii="仿宋" w:eastAsia="仿宋" w:hAnsi="仿宋" w:hint="eastAsia"/>
                <w:kern w:val="0"/>
                <w:sz w:val="20"/>
                <w:highlight w:val="cyan"/>
              </w:rPr>
            </w:pPr>
            <w:r>
              <w:rPr>
                <w:rFonts w:ascii="仿宋" w:eastAsia="仿宋" w:hAnsi="仿宋" w:cs="仿宋" w:hint="eastAsia"/>
                <w:kern w:val="0"/>
                <w:sz w:val="20"/>
                <w:lang w:bidi="ar"/>
              </w:rPr>
              <w:t>5、凡是合同金额模糊不清或合同签订日期无法判断的均</w:t>
            </w:r>
            <w:r>
              <w:rPr>
                <w:rFonts w:ascii="仿宋" w:eastAsia="仿宋" w:hAnsi="仿宋" w:cs="仿宋" w:hint="eastAsia"/>
                <w:kern w:val="0"/>
                <w:sz w:val="20"/>
                <w:lang w:bidi="ar"/>
              </w:rPr>
              <w:lastRenderedPageBreak/>
              <w:t>视为该合同业绩无效；如合同不只包含上述类似业绩要求的产品，应答人须将上述类似业绩要求的产品单独列出，并提供合同正文或订单或结算单等证明材料，否则不计入业绩金额之中。</w:t>
            </w:r>
          </w:p>
        </w:tc>
      </w:tr>
      <w:tr w:rsidR="00622CF6" w14:paraId="2761D383" w14:textId="77777777">
        <w:trPr>
          <w:trHeight w:val="481"/>
          <w:jc w:val="center"/>
        </w:trPr>
        <w:tc>
          <w:tcPr>
            <w:tcW w:w="1710" w:type="dxa"/>
            <w:gridSpan w:val="2"/>
            <w:noWrap/>
            <w:vAlign w:val="center"/>
          </w:tcPr>
          <w:p w14:paraId="05935D45" w14:textId="77777777" w:rsidR="00622CF6" w:rsidRDefault="00622CF6" w:rsidP="00622CF6">
            <w:pPr>
              <w:jc w:val="center"/>
              <w:rPr>
                <w:rFonts w:ascii="仿宋" w:eastAsia="仿宋" w:hAnsi="仿宋" w:cs="仿宋" w:hint="eastAsia"/>
                <w:b/>
                <w:bCs/>
                <w:sz w:val="20"/>
              </w:rPr>
            </w:pPr>
            <w:r>
              <w:rPr>
                <w:rFonts w:ascii="仿宋" w:eastAsia="仿宋" w:hAnsi="仿宋" w:cs="仿宋" w:hint="eastAsia"/>
                <w:b/>
                <w:bCs/>
                <w:sz w:val="20"/>
              </w:rPr>
              <w:lastRenderedPageBreak/>
              <w:t>合计</w:t>
            </w:r>
          </w:p>
        </w:tc>
        <w:tc>
          <w:tcPr>
            <w:tcW w:w="612" w:type="dxa"/>
            <w:noWrap/>
            <w:vAlign w:val="center"/>
          </w:tcPr>
          <w:p w14:paraId="016DC2C3" w14:textId="77777777" w:rsidR="00622CF6" w:rsidRDefault="00622CF6" w:rsidP="00622CF6">
            <w:pPr>
              <w:jc w:val="center"/>
              <w:rPr>
                <w:rFonts w:ascii="仿宋" w:eastAsia="仿宋" w:hAnsi="仿宋" w:cs="仿宋" w:hint="eastAsia"/>
                <w:b/>
                <w:bCs/>
                <w:sz w:val="20"/>
              </w:rPr>
            </w:pPr>
            <w:r>
              <w:rPr>
                <w:rFonts w:ascii="仿宋" w:eastAsia="仿宋" w:hAnsi="仿宋" w:cs="仿宋" w:hint="eastAsia"/>
                <w:b/>
                <w:bCs/>
                <w:sz w:val="20"/>
              </w:rPr>
              <w:t>100</w:t>
            </w:r>
          </w:p>
        </w:tc>
        <w:tc>
          <w:tcPr>
            <w:tcW w:w="5470" w:type="dxa"/>
            <w:noWrap/>
            <w:vAlign w:val="center"/>
          </w:tcPr>
          <w:p w14:paraId="6AD56A22" w14:textId="77777777" w:rsidR="00622CF6" w:rsidRDefault="00622CF6" w:rsidP="00622CF6">
            <w:pPr>
              <w:jc w:val="center"/>
              <w:rPr>
                <w:rFonts w:ascii="仿宋" w:eastAsia="仿宋" w:hAnsi="仿宋" w:cs="仿宋" w:hint="eastAsia"/>
                <w:b/>
                <w:bCs/>
                <w:sz w:val="20"/>
              </w:rPr>
            </w:pPr>
          </w:p>
        </w:tc>
        <w:tc>
          <w:tcPr>
            <w:tcW w:w="2775" w:type="dxa"/>
            <w:noWrap/>
            <w:vAlign w:val="center"/>
          </w:tcPr>
          <w:p w14:paraId="18559C82" w14:textId="77777777" w:rsidR="00622CF6" w:rsidRDefault="00622CF6" w:rsidP="00622CF6">
            <w:pPr>
              <w:jc w:val="center"/>
              <w:rPr>
                <w:rFonts w:ascii="仿宋" w:eastAsia="仿宋" w:hAnsi="仿宋" w:cs="仿宋" w:hint="eastAsia"/>
                <w:b/>
                <w:bCs/>
                <w:sz w:val="20"/>
              </w:rPr>
            </w:pPr>
          </w:p>
        </w:tc>
      </w:tr>
    </w:tbl>
    <w:p w14:paraId="735390E3" w14:textId="235D84A3" w:rsidR="002F4EDD" w:rsidRDefault="002F4EDD">
      <w:pPr>
        <w:spacing w:line="360" w:lineRule="auto"/>
        <w:ind w:firstLineChars="200" w:firstLine="640"/>
        <w:rPr>
          <w:rFonts w:ascii="仿宋" w:eastAsia="仿宋" w:hAnsi="仿宋" w:hint="eastAsia"/>
          <w:sz w:val="32"/>
          <w:szCs w:val="32"/>
        </w:rPr>
      </w:pPr>
    </w:p>
    <w:sectPr w:rsidR="002F4EDD">
      <w:footerReference w:type="default" r:id="rId7"/>
      <w:pgSz w:w="11906" w:h="16838"/>
      <w:pgMar w:top="1134" w:right="1706" w:bottom="1134"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F45EB" w14:textId="77777777" w:rsidR="00902A8C" w:rsidRDefault="00902A8C">
      <w:r>
        <w:separator/>
      </w:r>
    </w:p>
  </w:endnote>
  <w:endnote w:type="continuationSeparator" w:id="0">
    <w:p w14:paraId="4548EC36" w14:textId="77777777" w:rsidR="00902A8C" w:rsidRDefault="0090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体">
    <w:altName w:val="仿宋"/>
    <w:charset w:val="86"/>
    <w:family w:val="roma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altName w:val="仿宋"/>
    <w:charset w:val="00"/>
    <w:family w:val="auto"/>
    <w:pitch w:val="default"/>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48877" w14:textId="77777777" w:rsidR="002F4EDD" w:rsidRDefault="00000000">
    <w:pPr>
      <w:pStyle w:val="af3"/>
      <w:jc w:val="center"/>
    </w:pPr>
    <w:r>
      <w:rPr>
        <w:b/>
        <w:sz w:val="24"/>
        <w:szCs w:val="24"/>
      </w:rPr>
      <w:fldChar w:fldCharType="begin"/>
    </w:r>
    <w:r>
      <w:rPr>
        <w:b/>
      </w:rPr>
      <w:instrText>PAGE</w:instrText>
    </w:r>
    <w:r>
      <w:rPr>
        <w:b/>
        <w:sz w:val="24"/>
        <w:szCs w:val="24"/>
      </w:rPr>
      <w:fldChar w:fldCharType="separate"/>
    </w:r>
    <w:r>
      <w:rPr>
        <w:b/>
      </w:rPr>
      <w:t>1</w:t>
    </w:r>
    <w:r>
      <w:rPr>
        <w:b/>
        <w:sz w:val="24"/>
        <w:szCs w:val="24"/>
      </w:rPr>
      <w:fldChar w:fldCharType="end"/>
    </w:r>
    <w:r>
      <w:rPr>
        <w:lang w:val="zh-CN"/>
      </w:rPr>
      <w:t>/</w:t>
    </w:r>
    <w:r>
      <w:rPr>
        <w:b/>
        <w:sz w:val="24"/>
        <w:szCs w:val="24"/>
      </w:rPr>
      <w:fldChar w:fldCharType="begin"/>
    </w:r>
    <w:r>
      <w:rPr>
        <w:b/>
      </w:rPr>
      <w:instrText>NUMPAGES</w:instrText>
    </w:r>
    <w:r>
      <w:rPr>
        <w:b/>
        <w:sz w:val="24"/>
        <w:szCs w:val="24"/>
      </w:rPr>
      <w:fldChar w:fldCharType="separate"/>
    </w:r>
    <w:r>
      <w:rPr>
        <w:b/>
      </w:rPr>
      <w:t>7</w:t>
    </w:r>
    <w:r>
      <w:rPr>
        <w:b/>
        <w:sz w:val="24"/>
        <w:szCs w:val="24"/>
      </w:rPr>
      <w:fldChar w:fldCharType="end"/>
    </w:r>
  </w:p>
  <w:p w14:paraId="19843AE3" w14:textId="77777777" w:rsidR="002F4EDD" w:rsidRDefault="002F4EDD">
    <w:pPr>
      <w:pStyle w:val="af3"/>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AD92D" w14:textId="77777777" w:rsidR="00902A8C" w:rsidRDefault="00902A8C">
      <w:r>
        <w:separator/>
      </w:r>
    </w:p>
  </w:footnote>
  <w:footnote w:type="continuationSeparator" w:id="0">
    <w:p w14:paraId="1FF71FEC" w14:textId="77777777" w:rsidR="00902A8C" w:rsidRDefault="00902A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left" w:pos="432"/>
        </w:tabs>
        <w:ind w:left="432" w:hanging="432"/>
      </w:pPr>
      <w:rPr>
        <w:rFonts w:hint="eastAsia"/>
      </w:rPr>
    </w:lvl>
    <w:lvl w:ilvl="1">
      <w:start w:val="1"/>
      <w:numFmt w:val="decimal"/>
      <w:pStyle w:val="a"/>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 w15:restartNumberingAfterBreak="0">
    <w:nsid w:val="0053208E"/>
    <w:multiLevelType w:val="multilevel"/>
    <w:tmpl w:val="0053208E"/>
    <w:lvl w:ilvl="0">
      <w:start w:val="1"/>
      <w:numFmt w:val="decimal"/>
      <w:pStyle w:val="1"/>
      <w:suff w:val="nothing"/>
      <w:lvlText w:val="%1、"/>
      <w:lvlJc w:val="left"/>
      <w:pPr>
        <w:ind w:left="0" w:firstLine="0"/>
      </w:pPr>
      <w:rPr>
        <w:rFonts w:ascii="Times New Roman" w:eastAsia="黑体" w:hAnsi="Times New Roman" w:hint="default"/>
        <w:b w:val="0"/>
        <w:i w:val="0"/>
        <w:sz w:val="28"/>
      </w:rPr>
    </w:lvl>
    <w:lvl w:ilvl="1">
      <w:start w:val="1"/>
      <w:numFmt w:val="decimal"/>
      <w:pStyle w:val="2"/>
      <w:suff w:val="nothing"/>
      <w:lvlText w:val="%1.%2"/>
      <w:lvlJc w:val="left"/>
      <w:pPr>
        <w:ind w:left="0" w:firstLine="0"/>
      </w:pPr>
      <w:rPr>
        <w:rFonts w:ascii="Times New Roman" w:eastAsia="黑体" w:hAnsi="Times New Roman" w:hint="default"/>
        <w:b w:val="0"/>
        <w:i w:val="0"/>
        <w:sz w:val="24"/>
      </w:rPr>
    </w:lvl>
    <w:lvl w:ilvl="2">
      <w:start w:val="1"/>
      <w:numFmt w:val="decimal"/>
      <w:pStyle w:val="3"/>
      <w:suff w:val="nothing"/>
      <w:lvlText w:val="%1.%2.%3"/>
      <w:lvlJc w:val="left"/>
      <w:pPr>
        <w:ind w:left="-49" w:firstLine="289"/>
      </w:pPr>
      <w:rPr>
        <w:rFonts w:ascii="Times New Roman" w:eastAsia="黑体" w:hAnsi="Times New Roman" w:hint="default"/>
        <w:sz w:val="24"/>
      </w:rPr>
    </w:lvl>
    <w:lvl w:ilvl="3">
      <w:start w:val="1"/>
      <w:numFmt w:val="decimal"/>
      <w:pStyle w:val="4"/>
      <w:suff w:val="nothing"/>
      <w:lvlText w:val="%1.%2.%3.%4"/>
      <w:lvlJc w:val="left"/>
      <w:pPr>
        <w:ind w:left="0" w:firstLine="289"/>
      </w:pPr>
      <w:rPr>
        <w:rFonts w:ascii="Times New Roman" w:eastAsia="黑体" w:hAnsi="Times New Roman" w:hint="default"/>
        <w:sz w:val="24"/>
      </w:rPr>
    </w:lvl>
    <w:lvl w:ilvl="4">
      <w:start w:val="1"/>
      <w:numFmt w:val="decimal"/>
      <w:lvlText w:val="%1.%2.%3.%4.%5"/>
      <w:lvlJc w:val="left"/>
      <w:pPr>
        <w:tabs>
          <w:tab w:val="left" w:pos="3261"/>
        </w:tabs>
        <w:ind w:left="2671" w:hanging="850"/>
      </w:pPr>
      <w:rPr>
        <w:rFonts w:hint="eastAsia"/>
      </w:rPr>
    </w:lvl>
    <w:lvl w:ilvl="5">
      <w:start w:val="1"/>
      <w:numFmt w:val="decimal"/>
      <w:lvlText w:val="%1.%2.%3.%4.%5.%6"/>
      <w:lvlJc w:val="left"/>
      <w:pPr>
        <w:tabs>
          <w:tab w:val="left" w:pos="4046"/>
        </w:tabs>
        <w:ind w:left="3380" w:hanging="1134"/>
      </w:pPr>
      <w:rPr>
        <w:rFonts w:hint="eastAsia"/>
      </w:rPr>
    </w:lvl>
    <w:lvl w:ilvl="6">
      <w:start w:val="1"/>
      <w:numFmt w:val="decimal"/>
      <w:lvlText w:val="%1.%2.%3.%4.%5.%6.%7"/>
      <w:lvlJc w:val="left"/>
      <w:pPr>
        <w:tabs>
          <w:tab w:val="left" w:pos="4471"/>
        </w:tabs>
        <w:ind w:left="3947" w:hanging="1276"/>
      </w:pPr>
      <w:rPr>
        <w:rFonts w:hint="eastAsia"/>
      </w:rPr>
    </w:lvl>
    <w:lvl w:ilvl="7">
      <w:start w:val="1"/>
      <w:numFmt w:val="decimal"/>
      <w:lvlText w:val="%1.%2.%3.%4.%5.%6.%7.%8"/>
      <w:lvlJc w:val="left"/>
      <w:pPr>
        <w:tabs>
          <w:tab w:val="left" w:pos="5256"/>
        </w:tabs>
        <w:ind w:left="4514" w:hanging="1418"/>
      </w:pPr>
      <w:rPr>
        <w:rFonts w:hint="eastAsia"/>
      </w:rPr>
    </w:lvl>
    <w:lvl w:ilvl="8">
      <w:start w:val="1"/>
      <w:numFmt w:val="decimal"/>
      <w:lvlText w:val="%1.%2.%3.%4.%5.%6.%7.%8.%9"/>
      <w:lvlJc w:val="left"/>
      <w:pPr>
        <w:tabs>
          <w:tab w:val="left" w:pos="6042"/>
        </w:tabs>
        <w:ind w:left="5222" w:hanging="1700"/>
      </w:pPr>
      <w:rPr>
        <w:rFonts w:hint="eastAsia"/>
      </w:rPr>
    </w:lvl>
  </w:abstractNum>
  <w:num w:numId="1" w16cid:durableId="1013919435">
    <w:abstractNumId w:val="1"/>
  </w:num>
  <w:num w:numId="2" w16cid:durableId="14391796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defaultTabStop w:val="420"/>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k2NGMyNjBlY2VjNzQ2NThjZGIyNTIxYWUyNGQyNjcifQ=="/>
  </w:docVars>
  <w:rsids>
    <w:rsidRoot w:val="00321A89"/>
    <w:rsid w:val="0000565D"/>
    <w:rsid w:val="00013A5F"/>
    <w:rsid w:val="00030AA9"/>
    <w:rsid w:val="00032029"/>
    <w:rsid w:val="000323E2"/>
    <w:rsid w:val="000340AC"/>
    <w:rsid w:val="000404C4"/>
    <w:rsid w:val="00043BC4"/>
    <w:rsid w:val="00052178"/>
    <w:rsid w:val="000808B3"/>
    <w:rsid w:val="000A20BF"/>
    <w:rsid w:val="000A6E8B"/>
    <w:rsid w:val="000E15A8"/>
    <w:rsid w:val="000F0B5D"/>
    <w:rsid w:val="000F5A22"/>
    <w:rsid w:val="001061D5"/>
    <w:rsid w:val="00127BD6"/>
    <w:rsid w:val="001534E1"/>
    <w:rsid w:val="001661F3"/>
    <w:rsid w:val="001B36BB"/>
    <w:rsid w:val="001E119E"/>
    <w:rsid w:val="001E5015"/>
    <w:rsid w:val="00215F44"/>
    <w:rsid w:val="00234056"/>
    <w:rsid w:val="00236C91"/>
    <w:rsid w:val="002704E8"/>
    <w:rsid w:val="0027178D"/>
    <w:rsid w:val="002732B6"/>
    <w:rsid w:val="00274A8B"/>
    <w:rsid w:val="00287864"/>
    <w:rsid w:val="00294012"/>
    <w:rsid w:val="002A1883"/>
    <w:rsid w:val="002A4DB9"/>
    <w:rsid w:val="002B69E4"/>
    <w:rsid w:val="002C23A9"/>
    <w:rsid w:val="002C286A"/>
    <w:rsid w:val="002D6D10"/>
    <w:rsid w:val="002E1E59"/>
    <w:rsid w:val="002E2385"/>
    <w:rsid w:val="002F4EDD"/>
    <w:rsid w:val="0030331C"/>
    <w:rsid w:val="00304C4D"/>
    <w:rsid w:val="00305C41"/>
    <w:rsid w:val="00306C1E"/>
    <w:rsid w:val="00321A89"/>
    <w:rsid w:val="00340C17"/>
    <w:rsid w:val="00344AEA"/>
    <w:rsid w:val="00346D77"/>
    <w:rsid w:val="00383B53"/>
    <w:rsid w:val="003A1960"/>
    <w:rsid w:val="003B1F32"/>
    <w:rsid w:val="003C0286"/>
    <w:rsid w:val="003D1182"/>
    <w:rsid w:val="003D2B91"/>
    <w:rsid w:val="003D5F90"/>
    <w:rsid w:val="003E1977"/>
    <w:rsid w:val="003E51F8"/>
    <w:rsid w:val="00447C4A"/>
    <w:rsid w:val="004811E4"/>
    <w:rsid w:val="004956D3"/>
    <w:rsid w:val="004A1F9F"/>
    <w:rsid w:val="004B4488"/>
    <w:rsid w:val="004E1D33"/>
    <w:rsid w:val="00512C46"/>
    <w:rsid w:val="00517A10"/>
    <w:rsid w:val="00527902"/>
    <w:rsid w:val="0053747B"/>
    <w:rsid w:val="00546DE0"/>
    <w:rsid w:val="005530C6"/>
    <w:rsid w:val="0056000E"/>
    <w:rsid w:val="00574290"/>
    <w:rsid w:val="00576E13"/>
    <w:rsid w:val="005810C8"/>
    <w:rsid w:val="00590C9E"/>
    <w:rsid w:val="005A739E"/>
    <w:rsid w:val="005B417A"/>
    <w:rsid w:val="005C2843"/>
    <w:rsid w:val="005D61A0"/>
    <w:rsid w:val="005F5858"/>
    <w:rsid w:val="005F70BE"/>
    <w:rsid w:val="00600524"/>
    <w:rsid w:val="00622CF6"/>
    <w:rsid w:val="00630BA0"/>
    <w:rsid w:val="00631362"/>
    <w:rsid w:val="00654AAE"/>
    <w:rsid w:val="00664AB4"/>
    <w:rsid w:val="00665796"/>
    <w:rsid w:val="0066651D"/>
    <w:rsid w:val="0066748A"/>
    <w:rsid w:val="00682DED"/>
    <w:rsid w:val="006849EC"/>
    <w:rsid w:val="006A38C1"/>
    <w:rsid w:val="006A3A84"/>
    <w:rsid w:val="006B5456"/>
    <w:rsid w:val="006C70B9"/>
    <w:rsid w:val="006D10CF"/>
    <w:rsid w:val="006E27F8"/>
    <w:rsid w:val="006E3A50"/>
    <w:rsid w:val="006F5104"/>
    <w:rsid w:val="0070290F"/>
    <w:rsid w:val="00710179"/>
    <w:rsid w:val="00721436"/>
    <w:rsid w:val="007223EC"/>
    <w:rsid w:val="00722D4B"/>
    <w:rsid w:val="007234FF"/>
    <w:rsid w:val="007251AC"/>
    <w:rsid w:val="0072632A"/>
    <w:rsid w:val="00736387"/>
    <w:rsid w:val="00747D00"/>
    <w:rsid w:val="0077417C"/>
    <w:rsid w:val="00781FD9"/>
    <w:rsid w:val="00790844"/>
    <w:rsid w:val="007A258A"/>
    <w:rsid w:val="007B2ED7"/>
    <w:rsid w:val="007B71B3"/>
    <w:rsid w:val="007B7A60"/>
    <w:rsid w:val="007C6318"/>
    <w:rsid w:val="007E0056"/>
    <w:rsid w:val="007F6636"/>
    <w:rsid w:val="00826AFA"/>
    <w:rsid w:val="0083474B"/>
    <w:rsid w:val="0084105D"/>
    <w:rsid w:val="008516B3"/>
    <w:rsid w:val="00853E1B"/>
    <w:rsid w:val="008570A7"/>
    <w:rsid w:val="00857D47"/>
    <w:rsid w:val="00862BA7"/>
    <w:rsid w:val="00862F32"/>
    <w:rsid w:val="008631FF"/>
    <w:rsid w:val="0087548F"/>
    <w:rsid w:val="00875FA0"/>
    <w:rsid w:val="00882FE8"/>
    <w:rsid w:val="008A57BD"/>
    <w:rsid w:val="008B1D1D"/>
    <w:rsid w:val="008B41F1"/>
    <w:rsid w:val="008C3528"/>
    <w:rsid w:val="008C6042"/>
    <w:rsid w:val="008E182D"/>
    <w:rsid w:val="008E5A81"/>
    <w:rsid w:val="008F04F4"/>
    <w:rsid w:val="008F428F"/>
    <w:rsid w:val="0090006E"/>
    <w:rsid w:val="00902A8C"/>
    <w:rsid w:val="00911DE6"/>
    <w:rsid w:val="00914F56"/>
    <w:rsid w:val="00916D0B"/>
    <w:rsid w:val="00925A1B"/>
    <w:rsid w:val="00936827"/>
    <w:rsid w:val="00966DEF"/>
    <w:rsid w:val="00972107"/>
    <w:rsid w:val="0098756B"/>
    <w:rsid w:val="00995ABB"/>
    <w:rsid w:val="009A3F61"/>
    <w:rsid w:val="009A7802"/>
    <w:rsid w:val="009B16B4"/>
    <w:rsid w:val="009D5C8B"/>
    <w:rsid w:val="00A01157"/>
    <w:rsid w:val="00A03582"/>
    <w:rsid w:val="00A12BC7"/>
    <w:rsid w:val="00A1322E"/>
    <w:rsid w:val="00A17173"/>
    <w:rsid w:val="00A179D5"/>
    <w:rsid w:val="00A3064D"/>
    <w:rsid w:val="00A30F2B"/>
    <w:rsid w:val="00A35423"/>
    <w:rsid w:val="00A3723E"/>
    <w:rsid w:val="00A550C1"/>
    <w:rsid w:val="00A57AFC"/>
    <w:rsid w:val="00A67060"/>
    <w:rsid w:val="00A819A2"/>
    <w:rsid w:val="00A81C02"/>
    <w:rsid w:val="00A9511F"/>
    <w:rsid w:val="00A95B92"/>
    <w:rsid w:val="00AB2646"/>
    <w:rsid w:val="00AB57C6"/>
    <w:rsid w:val="00AB7DCB"/>
    <w:rsid w:val="00AC24E7"/>
    <w:rsid w:val="00AC3BF8"/>
    <w:rsid w:val="00AD251E"/>
    <w:rsid w:val="00AD362D"/>
    <w:rsid w:val="00AD5BE6"/>
    <w:rsid w:val="00AE09EA"/>
    <w:rsid w:val="00AE7E3F"/>
    <w:rsid w:val="00AF5C86"/>
    <w:rsid w:val="00B0243A"/>
    <w:rsid w:val="00B02E2D"/>
    <w:rsid w:val="00B24AE9"/>
    <w:rsid w:val="00B56A8D"/>
    <w:rsid w:val="00B63305"/>
    <w:rsid w:val="00B6590E"/>
    <w:rsid w:val="00B730E0"/>
    <w:rsid w:val="00B74A69"/>
    <w:rsid w:val="00B8195D"/>
    <w:rsid w:val="00B91787"/>
    <w:rsid w:val="00B948B9"/>
    <w:rsid w:val="00B95B27"/>
    <w:rsid w:val="00B9779F"/>
    <w:rsid w:val="00BA047D"/>
    <w:rsid w:val="00BA750B"/>
    <w:rsid w:val="00BA7DE1"/>
    <w:rsid w:val="00BF5D0D"/>
    <w:rsid w:val="00C0434B"/>
    <w:rsid w:val="00C04398"/>
    <w:rsid w:val="00C048FC"/>
    <w:rsid w:val="00C05BED"/>
    <w:rsid w:val="00C231D8"/>
    <w:rsid w:val="00C26B38"/>
    <w:rsid w:val="00C41D25"/>
    <w:rsid w:val="00C5222A"/>
    <w:rsid w:val="00C5353C"/>
    <w:rsid w:val="00C619BD"/>
    <w:rsid w:val="00C64169"/>
    <w:rsid w:val="00C641A4"/>
    <w:rsid w:val="00C66B38"/>
    <w:rsid w:val="00C753FE"/>
    <w:rsid w:val="00CA5734"/>
    <w:rsid w:val="00CB6B41"/>
    <w:rsid w:val="00CC558D"/>
    <w:rsid w:val="00CC7300"/>
    <w:rsid w:val="00CE41DE"/>
    <w:rsid w:val="00CE6074"/>
    <w:rsid w:val="00CF4D6C"/>
    <w:rsid w:val="00D1726E"/>
    <w:rsid w:val="00D358EE"/>
    <w:rsid w:val="00D46F13"/>
    <w:rsid w:val="00D52EA3"/>
    <w:rsid w:val="00D5425D"/>
    <w:rsid w:val="00D647AA"/>
    <w:rsid w:val="00D65C0A"/>
    <w:rsid w:val="00D83B3B"/>
    <w:rsid w:val="00D87F62"/>
    <w:rsid w:val="00DA39BD"/>
    <w:rsid w:val="00DB0875"/>
    <w:rsid w:val="00DB325F"/>
    <w:rsid w:val="00DC5D36"/>
    <w:rsid w:val="00DD4FB2"/>
    <w:rsid w:val="00DF000B"/>
    <w:rsid w:val="00DF0C4F"/>
    <w:rsid w:val="00E012F4"/>
    <w:rsid w:val="00E20FA9"/>
    <w:rsid w:val="00E22858"/>
    <w:rsid w:val="00E2554E"/>
    <w:rsid w:val="00E25D13"/>
    <w:rsid w:val="00E35104"/>
    <w:rsid w:val="00E36763"/>
    <w:rsid w:val="00E37293"/>
    <w:rsid w:val="00E45574"/>
    <w:rsid w:val="00E562CA"/>
    <w:rsid w:val="00E656E0"/>
    <w:rsid w:val="00E7359C"/>
    <w:rsid w:val="00E766AE"/>
    <w:rsid w:val="00E835F1"/>
    <w:rsid w:val="00E97A9D"/>
    <w:rsid w:val="00E97F7B"/>
    <w:rsid w:val="00EB17A9"/>
    <w:rsid w:val="00EC1285"/>
    <w:rsid w:val="00ED03EC"/>
    <w:rsid w:val="00ED2177"/>
    <w:rsid w:val="00ED45DC"/>
    <w:rsid w:val="00EE4B1A"/>
    <w:rsid w:val="00EE7282"/>
    <w:rsid w:val="00EF1179"/>
    <w:rsid w:val="00F0136F"/>
    <w:rsid w:val="00F2201F"/>
    <w:rsid w:val="00F22667"/>
    <w:rsid w:val="00F274E0"/>
    <w:rsid w:val="00F445CB"/>
    <w:rsid w:val="00F601A0"/>
    <w:rsid w:val="00F8648D"/>
    <w:rsid w:val="00F93932"/>
    <w:rsid w:val="00FA080B"/>
    <w:rsid w:val="00FB5F7D"/>
    <w:rsid w:val="00FB7A33"/>
    <w:rsid w:val="00FC4098"/>
    <w:rsid w:val="00FD22AE"/>
    <w:rsid w:val="00FD377C"/>
    <w:rsid w:val="00FE0738"/>
    <w:rsid w:val="00FE27E6"/>
    <w:rsid w:val="00FE3CD3"/>
    <w:rsid w:val="00FE4568"/>
    <w:rsid w:val="00FF5031"/>
    <w:rsid w:val="00FF608E"/>
    <w:rsid w:val="016814B1"/>
    <w:rsid w:val="021148A8"/>
    <w:rsid w:val="03433F84"/>
    <w:rsid w:val="03CA1FAF"/>
    <w:rsid w:val="0430427D"/>
    <w:rsid w:val="055F4BD0"/>
    <w:rsid w:val="057E39A5"/>
    <w:rsid w:val="07153E89"/>
    <w:rsid w:val="072705C8"/>
    <w:rsid w:val="083D71F3"/>
    <w:rsid w:val="086E0768"/>
    <w:rsid w:val="08A63489"/>
    <w:rsid w:val="08CD3E70"/>
    <w:rsid w:val="08FA6E92"/>
    <w:rsid w:val="08FD6983"/>
    <w:rsid w:val="090369F3"/>
    <w:rsid w:val="091D7025"/>
    <w:rsid w:val="092640C2"/>
    <w:rsid w:val="099F5C8C"/>
    <w:rsid w:val="0A9450C5"/>
    <w:rsid w:val="0B41524D"/>
    <w:rsid w:val="0B7A075E"/>
    <w:rsid w:val="0BE46B89"/>
    <w:rsid w:val="0CD2303E"/>
    <w:rsid w:val="0CFF5294"/>
    <w:rsid w:val="0D1D75F3"/>
    <w:rsid w:val="0D50757B"/>
    <w:rsid w:val="0EF95E3E"/>
    <w:rsid w:val="0F5D0A30"/>
    <w:rsid w:val="0FDF0BB3"/>
    <w:rsid w:val="10B95885"/>
    <w:rsid w:val="12A0603B"/>
    <w:rsid w:val="12BB2A77"/>
    <w:rsid w:val="12C312C4"/>
    <w:rsid w:val="130B7721"/>
    <w:rsid w:val="137D703E"/>
    <w:rsid w:val="13F06450"/>
    <w:rsid w:val="146B333A"/>
    <w:rsid w:val="14ED01F3"/>
    <w:rsid w:val="152A4FA3"/>
    <w:rsid w:val="15E0294D"/>
    <w:rsid w:val="17263548"/>
    <w:rsid w:val="18117E99"/>
    <w:rsid w:val="1840063A"/>
    <w:rsid w:val="18954E2A"/>
    <w:rsid w:val="19C45CAA"/>
    <w:rsid w:val="1A4563DB"/>
    <w:rsid w:val="1A631EC8"/>
    <w:rsid w:val="1C420E24"/>
    <w:rsid w:val="1CBA4E5F"/>
    <w:rsid w:val="1CCC6940"/>
    <w:rsid w:val="1CF75746"/>
    <w:rsid w:val="1D2B41AF"/>
    <w:rsid w:val="1DCF66E8"/>
    <w:rsid w:val="1DDE692B"/>
    <w:rsid w:val="1ECA44D1"/>
    <w:rsid w:val="1FAD2909"/>
    <w:rsid w:val="2040567B"/>
    <w:rsid w:val="20745325"/>
    <w:rsid w:val="20EF6144"/>
    <w:rsid w:val="218025C0"/>
    <w:rsid w:val="219608B9"/>
    <w:rsid w:val="239F3791"/>
    <w:rsid w:val="25313464"/>
    <w:rsid w:val="25553977"/>
    <w:rsid w:val="267F709C"/>
    <w:rsid w:val="277707E1"/>
    <w:rsid w:val="278C4733"/>
    <w:rsid w:val="27D9C215"/>
    <w:rsid w:val="283E5914"/>
    <w:rsid w:val="2AC670C5"/>
    <w:rsid w:val="2B2B3713"/>
    <w:rsid w:val="2BC74169"/>
    <w:rsid w:val="2C114742"/>
    <w:rsid w:val="2C66290D"/>
    <w:rsid w:val="2D35408E"/>
    <w:rsid w:val="2DD1025A"/>
    <w:rsid w:val="2DF83A39"/>
    <w:rsid w:val="2E0C1292"/>
    <w:rsid w:val="2E1C51E6"/>
    <w:rsid w:val="2E2D5FD1"/>
    <w:rsid w:val="2EC31E3A"/>
    <w:rsid w:val="2EF4247A"/>
    <w:rsid w:val="2EFD91D8"/>
    <w:rsid w:val="2F4A27CA"/>
    <w:rsid w:val="2F776BDF"/>
    <w:rsid w:val="301270FD"/>
    <w:rsid w:val="304B0D10"/>
    <w:rsid w:val="30B944F1"/>
    <w:rsid w:val="33AC25F0"/>
    <w:rsid w:val="35170C48"/>
    <w:rsid w:val="357F67EE"/>
    <w:rsid w:val="368C2F70"/>
    <w:rsid w:val="372938E0"/>
    <w:rsid w:val="372E37CF"/>
    <w:rsid w:val="3778E496"/>
    <w:rsid w:val="37CA1E02"/>
    <w:rsid w:val="384E6D78"/>
    <w:rsid w:val="389A5B46"/>
    <w:rsid w:val="39050DB8"/>
    <w:rsid w:val="3A682D03"/>
    <w:rsid w:val="3A775CE5"/>
    <w:rsid w:val="3AAF39D1"/>
    <w:rsid w:val="3AC33322"/>
    <w:rsid w:val="3BF7EF9C"/>
    <w:rsid w:val="3CFE6DFD"/>
    <w:rsid w:val="3DA8198E"/>
    <w:rsid w:val="3DFA22D6"/>
    <w:rsid w:val="3E88226F"/>
    <w:rsid w:val="3FAE8B3C"/>
    <w:rsid w:val="40750F19"/>
    <w:rsid w:val="40DA36CE"/>
    <w:rsid w:val="41076015"/>
    <w:rsid w:val="41257A96"/>
    <w:rsid w:val="418C651A"/>
    <w:rsid w:val="41F97BB5"/>
    <w:rsid w:val="426138DE"/>
    <w:rsid w:val="430B03A5"/>
    <w:rsid w:val="44A27907"/>
    <w:rsid w:val="44EC47B2"/>
    <w:rsid w:val="44EF1E78"/>
    <w:rsid w:val="454676EB"/>
    <w:rsid w:val="45617CBE"/>
    <w:rsid w:val="46310FCF"/>
    <w:rsid w:val="478A5E98"/>
    <w:rsid w:val="49830203"/>
    <w:rsid w:val="49960B56"/>
    <w:rsid w:val="4A177E3E"/>
    <w:rsid w:val="4A2F729E"/>
    <w:rsid w:val="4A3459A1"/>
    <w:rsid w:val="4A560724"/>
    <w:rsid w:val="4BC62629"/>
    <w:rsid w:val="4BEBA7DB"/>
    <w:rsid w:val="4BF83C8E"/>
    <w:rsid w:val="4BF929FE"/>
    <w:rsid w:val="4C9B3AB5"/>
    <w:rsid w:val="4D45024D"/>
    <w:rsid w:val="4DFDE937"/>
    <w:rsid w:val="4E1D39EA"/>
    <w:rsid w:val="4F59664B"/>
    <w:rsid w:val="4F854684"/>
    <w:rsid w:val="503C7D20"/>
    <w:rsid w:val="51256043"/>
    <w:rsid w:val="513E788B"/>
    <w:rsid w:val="523522B6"/>
    <w:rsid w:val="52ED0DE3"/>
    <w:rsid w:val="53191BD8"/>
    <w:rsid w:val="533EBA0A"/>
    <w:rsid w:val="5397348D"/>
    <w:rsid w:val="53EF41D6"/>
    <w:rsid w:val="54422A68"/>
    <w:rsid w:val="558362CF"/>
    <w:rsid w:val="55E9A4DB"/>
    <w:rsid w:val="562425EC"/>
    <w:rsid w:val="569C7B1D"/>
    <w:rsid w:val="57BCC64E"/>
    <w:rsid w:val="57E74053"/>
    <w:rsid w:val="57FD2157"/>
    <w:rsid w:val="58A40D2B"/>
    <w:rsid w:val="590F4708"/>
    <w:rsid w:val="5A217302"/>
    <w:rsid w:val="5A3442E8"/>
    <w:rsid w:val="5A5A0B0C"/>
    <w:rsid w:val="5BDF6ACE"/>
    <w:rsid w:val="5BEF5489"/>
    <w:rsid w:val="5CFC2E90"/>
    <w:rsid w:val="5D5C8443"/>
    <w:rsid w:val="5DEFE56D"/>
    <w:rsid w:val="5E7339E6"/>
    <w:rsid w:val="5FA82319"/>
    <w:rsid w:val="5FF46743"/>
    <w:rsid w:val="60121E89"/>
    <w:rsid w:val="60E03D35"/>
    <w:rsid w:val="61D46A82"/>
    <w:rsid w:val="627B46FE"/>
    <w:rsid w:val="628D57F7"/>
    <w:rsid w:val="62AC2121"/>
    <w:rsid w:val="64283557"/>
    <w:rsid w:val="647E7AED"/>
    <w:rsid w:val="64E16202"/>
    <w:rsid w:val="65FF8ABF"/>
    <w:rsid w:val="66417024"/>
    <w:rsid w:val="665066E0"/>
    <w:rsid w:val="669FAAD3"/>
    <w:rsid w:val="66AF3A6A"/>
    <w:rsid w:val="67BF127F"/>
    <w:rsid w:val="6827623E"/>
    <w:rsid w:val="68444BA9"/>
    <w:rsid w:val="68BA2E93"/>
    <w:rsid w:val="691C1682"/>
    <w:rsid w:val="693057F4"/>
    <w:rsid w:val="69846EF1"/>
    <w:rsid w:val="69A86534"/>
    <w:rsid w:val="69FFBB91"/>
    <w:rsid w:val="6B621F16"/>
    <w:rsid w:val="6B76151E"/>
    <w:rsid w:val="6B767770"/>
    <w:rsid w:val="6C411B2C"/>
    <w:rsid w:val="6C897247"/>
    <w:rsid w:val="6D5F6C86"/>
    <w:rsid w:val="6EBFDB37"/>
    <w:rsid w:val="6EEEADAC"/>
    <w:rsid w:val="6EF70BC7"/>
    <w:rsid w:val="6EF799FE"/>
    <w:rsid w:val="6F6EF407"/>
    <w:rsid w:val="6F7E5608"/>
    <w:rsid w:val="6FF2313D"/>
    <w:rsid w:val="714D3D36"/>
    <w:rsid w:val="72FF7E3E"/>
    <w:rsid w:val="738B18DE"/>
    <w:rsid w:val="73BE380A"/>
    <w:rsid w:val="73F31ADC"/>
    <w:rsid w:val="74626AE3"/>
    <w:rsid w:val="753ADE44"/>
    <w:rsid w:val="761375DA"/>
    <w:rsid w:val="76FE7CC3"/>
    <w:rsid w:val="776B0A89"/>
    <w:rsid w:val="77B51620"/>
    <w:rsid w:val="77FDA680"/>
    <w:rsid w:val="781400F4"/>
    <w:rsid w:val="78E52CDF"/>
    <w:rsid w:val="797C2E06"/>
    <w:rsid w:val="79C70F6E"/>
    <w:rsid w:val="79E7E72D"/>
    <w:rsid w:val="7A0D5743"/>
    <w:rsid w:val="7B1B0204"/>
    <w:rsid w:val="7B6FF67B"/>
    <w:rsid w:val="7BF760C0"/>
    <w:rsid w:val="7CCF4F32"/>
    <w:rsid w:val="7CFBE4EF"/>
    <w:rsid w:val="7D532A36"/>
    <w:rsid w:val="7DEDC328"/>
    <w:rsid w:val="7DEF8C23"/>
    <w:rsid w:val="7DFADD85"/>
    <w:rsid w:val="7DFBC2F8"/>
    <w:rsid w:val="7E367E47"/>
    <w:rsid w:val="7E47F651"/>
    <w:rsid w:val="7E723DC7"/>
    <w:rsid w:val="7E7F9958"/>
    <w:rsid w:val="7EDEC8E9"/>
    <w:rsid w:val="7EDF9470"/>
    <w:rsid w:val="7F1FC679"/>
    <w:rsid w:val="7F20732F"/>
    <w:rsid w:val="7F5A3CB1"/>
    <w:rsid w:val="7F5B2DCE"/>
    <w:rsid w:val="7F5BA8E8"/>
    <w:rsid w:val="7F5F6F64"/>
    <w:rsid w:val="7F6E0A32"/>
    <w:rsid w:val="7FB7DCCA"/>
    <w:rsid w:val="7FBFCB2A"/>
    <w:rsid w:val="7FD36F9F"/>
    <w:rsid w:val="7FEB35B9"/>
    <w:rsid w:val="7FFF6367"/>
    <w:rsid w:val="955E247D"/>
    <w:rsid w:val="9F70BDEB"/>
    <w:rsid w:val="9FB75E01"/>
    <w:rsid w:val="9FB76C62"/>
    <w:rsid w:val="AABDFCDB"/>
    <w:rsid w:val="B7F71D39"/>
    <w:rsid w:val="BB7BD202"/>
    <w:rsid w:val="BEBF806A"/>
    <w:rsid w:val="BF57939B"/>
    <w:rsid w:val="BF7B5696"/>
    <w:rsid w:val="BFFE559E"/>
    <w:rsid w:val="CFBE93C1"/>
    <w:rsid w:val="D3D3F61B"/>
    <w:rsid w:val="D9DFB409"/>
    <w:rsid w:val="DB7F5D10"/>
    <w:rsid w:val="DCF69ED0"/>
    <w:rsid w:val="DEAAD5F1"/>
    <w:rsid w:val="DEFF7418"/>
    <w:rsid w:val="DF3F5D98"/>
    <w:rsid w:val="DFF73ADA"/>
    <w:rsid w:val="E1777538"/>
    <w:rsid w:val="E3F4B1C7"/>
    <w:rsid w:val="E7FDBD8D"/>
    <w:rsid w:val="EB7FD64F"/>
    <w:rsid w:val="EBD5CA8C"/>
    <w:rsid w:val="EC2F481E"/>
    <w:rsid w:val="EE6CA432"/>
    <w:rsid w:val="EE6E08BC"/>
    <w:rsid w:val="EEDF10FD"/>
    <w:rsid w:val="EF72E197"/>
    <w:rsid w:val="EF7F80C0"/>
    <w:rsid w:val="EFA96C82"/>
    <w:rsid w:val="EFB6FB0E"/>
    <w:rsid w:val="EFCBBC1F"/>
    <w:rsid w:val="F26A00FF"/>
    <w:rsid w:val="F33E37FC"/>
    <w:rsid w:val="F3F922C9"/>
    <w:rsid w:val="F63F750D"/>
    <w:rsid w:val="F74F51F2"/>
    <w:rsid w:val="F77D2BDD"/>
    <w:rsid w:val="F7BF1F72"/>
    <w:rsid w:val="F7CBC69B"/>
    <w:rsid w:val="FBEFC6CD"/>
    <w:rsid w:val="FBF98EDF"/>
    <w:rsid w:val="FCF9F61D"/>
    <w:rsid w:val="FD6FF4E8"/>
    <w:rsid w:val="FDA3F08E"/>
    <w:rsid w:val="FDEE0F1B"/>
    <w:rsid w:val="FDFB9780"/>
    <w:rsid w:val="FDFF69DA"/>
    <w:rsid w:val="FEDF360D"/>
    <w:rsid w:val="FF0DD61B"/>
    <w:rsid w:val="FF3EEA69"/>
    <w:rsid w:val="FF5DA8A0"/>
    <w:rsid w:val="FF7F7988"/>
    <w:rsid w:val="FFBAF517"/>
    <w:rsid w:val="FFFBC281"/>
    <w:rsid w:val="FFFD9241"/>
    <w:rsid w:val="FFFF1F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5903D"/>
  <w15:docId w15:val="{865D228A-CD68-4F85-9F76-08F375FAE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semiHidden="1" w:unhideWhenUsed="1" w:qFormat="1"/>
    <w:lsdException w:name="heading 9" w:semiHidden="1" w:unhideWhenUsed="1" w:qFormat="1"/>
    <w:lsdException w:name="toc 6" w:uiPriority="39" w:qFormat="1"/>
    <w:lsdException w:name="Normal Indent" w:qFormat="1"/>
    <w:lsdException w:name="annotation text" w:uiPriority="99" w:qFormat="1"/>
    <w:lsdException w:name="header" w:uiPriority="99" w:qFormat="1"/>
    <w:lsdException w:name="footer" w:uiPriority="99" w:qFormat="1"/>
    <w:lsdException w:name="caption" w:semiHidden="1" w:unhideWhenUsed="1" w:qFormat="1"/>
    <w:lsdException w:name="annotation reference" w:qFormat="1"/>
    <w:lsdException w:name="Title" w:uiPriority="10" w:qFormat="1"/>
    <w:lsdException w:name="Default Paragraph Font" w:semiHidden="1" w:uiPriority="1" w:unhideWhenUsed="1" w:qFormat="1"/>
    <w:lsdException w:name="Body Text" w:qFormat="1"/>
    <w:lsdException w:name="Body Text Indent" w:uiPriority="99" w:qFormat="1"/>
    <w:lsdException w:name="Subtitle" w:qFormat="1"/>
    <w:lsdException w:name="Date" w:uiPriority="99" w:qFormat="1"/>
    <w:lsdException w:name="Body Text First Indent" w:qFormat="1"/>
    <w:lsdException w:name="Body Text 2" w:uiPriority="99" w:qFormat="1"/>
    <w:lsdException w:name="Body Text Indent 3" w:uiPriority="99" w:qFormat="1"/>
    <w:lsdException w:name="Hyperlink" w:uiPriority="99" w:qFormat="1"/>
    <w:lsdException w:name="Strong"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jc w:val="both"/>
    </w:pPr>
    <w:rPr>
      <w:kern w:val="2"/>
      <w:sz w:val="21"/>
    </w:rPr>
  </w:style>
  <w:style w:type="paragraph" w:styleId="1">
    <w:name w:val="heading 1"/>
    <w:basedOn w:val="a0"/>
    <w:next w:val="a0"/>
    <w:link w:val="10"/>
    <w:qFormat/>
    <w:pPr>
      <w:keepNext/>
      <w:keepLines/>
      <w:numPr>
        <w:numId w:val="1"/>
      </w:numPr>
      <w:adjustRightInd w:val="0"/>
      <w:spacing w:before="120" w:after="120"/>
      <w:textAlignment w:val="baseline"/>
      <w:outlineLvl w:val="0"/>
    </w:pPr>
    <w:rPr>
      <w:rFonts w:eastAsia="黑体"/>
      <w:kern w:val="44"/>
      <w:sz w:val="28"/>
    </w:rPr>
  </w:style>
  <w:style w:type="paragraph" w:styleId="2">
    <w:name w:val="heading 2"/>
    <w:basedOn w:val="a0"/>
    <w:next w:val="a0"/>
    <w:link w:val="20"/>
    <w:qFormat/>
    <w:pPr>
      <w:keepNext/>
      <w:keepLines/>
      <w:numPr>
        <w:ilvl w:val="1"/>
        <w:numId w:val="1"/>
      </w:numPr>
      <w:adjustRightInd w:val="0"/>
      <w:spacing w:before="120" w:after="120"/>
      <w:textAlignment w:val="baseline"/>
      <w:outlineLvl w:val="1"/>
    </w:pPr>
    <w:rPr>
      <w:rFonts w:eastAsia="黑体"/>
      <w:kern w:val="0"/>
      <w:sz w:val="24"/>
    </w:rPr>
  </w:style>
  <w:style w:type="paragraph" w:styleId="3">
    <w:name w:val="heading 3"/>
    <w:basedOn w:val="a0"/>
    <w:next w:val="a0"/>
    <w:link w:val="30"/>
    <w:qFormat/>
    <w:pPr>
      <w:keepNext/>
      <w:keepLines/>
      <w:numPr>
        <w:ilvl w:val="2"/>
        <w:numId w:val="1"/>
      </w:numPr>
      <w:adjustRightInd w:val="0"/>
      <w:snapToGrid w:val="0"/>
      <w:spacing w:line="300" w:lineRule="auto"/>
      <w:textAlignment w:val="baseline"/>
      <w:outlineLvl w:val="2"/>
    </w:pPr>
    <w:rPr>
      <w:rFonts w:eastAsia="黑体"/>
      <w:kern w:val="0"/>
      <w:sz w:val="24"/>
    </w:rPr>
  </w:style>
  <w:style w:type="paragraph" w:styleId="4">
    <w:name w:val="heading 4"/>
    <w:basedOn w:val="a0"/>
    <w:next w:val="a0"/>
    <w:link w:val="40"/>
    <w:qFormat/>
    <w:pPr>
      <w:numPr>
        <w:ilvl w:val="3"/>
        <w:numId w:val="1"/>
      </w:numPr>
      <w:adjustRightInd w:val="0"/>
      <w:spacing w:line="300" w:lineRule="auto"/>
      <w:outlineLvl w:val="3"/>
    </w:pPr>
    <w:rPr>
      <w:kern w:val="28"/>
      <w:sz w:val="24"/>
    </w:rPr>
  </w:style>
  <w:style w:type="paragraph" w:styleId="5">
    <w:name w:val="heading 5"/>
    <w:basedOn w:val="a0"/>
    <w:next w:val="a0"/>
    <w:link w:val="50"/>
    <w:uiPriority w:val="9"/>
    <w:qFormat/>
    <w:pPr>
      <w:keepNext/>
      <w:keepLines/>
      <w:spacing w:before="280" w:after="290" w:line="376" w:lineRule="auto"/>
      <w:outlineLvl w:val="4"/>
    </w:pPr>
    <w:rPr>
      <w:b/>
      <w:bCs/>
      <w:sz w:val="28"/>
      <w:szCs w:val="28"/>
    </w:rPr>
  </w:style>
  <w:style w:type="paragraph" w:styleId="6">
    <w:name w:val="heading 6"/>
    <w:basedOn w:val="a0"/>
    <w:next w:val="a0"/>
    <w:link w:val="60"/>
    <w:uiPriority w:val="9"/>
    <w:qFormat/>
    <w:pPr>
      <w:keepNext/>
      <w:keepLines/>
      <w:spacing w:before="240" w:after="64" w:line="320" w:lineRule="auto"/>
      <w:outlineLvl w:val="5"/>
    </w:pPr>
    <w:rPr>
      <w:rFonts w:ascii="Cambria" w:hAnsi="Cambria"/>
      <w:b/>
      <w:bCs/>
      <w:sz w:val="24"/>
      <w:szCs w:val="24"/>
    </w:rPr>
  </w:style>
  <w:style w:type="paragraph" w:styleId="7">
    <w:name w:val="heading 7"/>
    <w:basedOn w:val="a0"/>
    <w:next w:val="a0"/>
    <w:link w:val="70"/>
    <w:uiPriority w:val="9"/>
    <w:qFormat/>
    <w:pPr>
      <w:keepNext/>
      <w:keepLines/>
      <w:spacing w:before="240" w:after="64" w:line="320" w:lineRule="auto"/>
      <w:outlineLvl w:val="6"/>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a5"/>
    <w:qFormat/>
    <w:pPr>
      <w:spacing w:line="360" w:lineRule="auto"/>
      <w:ind w:firstLine="420"/>
    </w:pPr>
    <w:rPr>
      <w:sz w:val="24"/>
      <w:szCs w:val="24"/>
    </w:rPr>
  </w:style>
  <w:style w:type="paragraph" w:styleId="a6">
    <w:name w:val="Document Map"/>
    <w:basedOn w:val="a0"/>
    <w:link w:val="a7"/>
    <w:uiPriority w:val="99"/>
    <w:qFormat/>
    <w:rPr>
      <w:rFonts w:ascii="宋体"/>
      <w:kern w:val="0"/>
      <w:sz w:val="18"/>
      <w:szCs w:val="18"/>
    </w:rPr>
  </w:style>
  <w:style w:type="paragraph" w:styleId="a8">
    <w:name w:val="annotation text"/>
    <w:basedOn w:val="a0"/>
    <w:link w:val="a9"/>
    <w:uiPriority w:val="99"/>
    <w:qFormat/>
    <w:pPr>
      <w:jc w:val="left"/>
    </w:pPr>
  </w:style>
  <w:style w:type="paragraph" w:styleId="aa">
    <w:name w:val="Body Text"/>
    <w:basedOn w:val="a0"/>
    <w:next w:val="a0"/>
    <w:link w:val="ab"/>
    <w:qFormat/>
    <w:pPr>
      <w:adjustRightInd w:val="0"/>
      <w:spacing w:line="600" w:lineRule="exact"/>
      <w:textAlignment w:val="baseline"/>
    </w:pPr>
    <w:rPr>
      <w:rFonts w:eastAsia="仿宋体"/>
      <w:b/>
      <w:kern w:val="0"/>
      <w:sz w:val="32"/>
    </w:rPr>
  </w:style>
  <w:style w:type="paragraph" w:styleId="ac">
    <w:name w:val="Body Text Indent"/>
    <w:basedOn w:val="a0"/>
    <w:link w:val="ad"/>
    <w:uiPriority w:val="99"/>
    <w:qFormat/>
    <w:pPr>
      <w:spacing w:after="120"/>
      <w:ind w:leftChars="200" w:left="420"/>
    </w:pPr>
  </w:style>
  <w:style w:type="paragraph" w:styleId="ae">
    <w:name w:val="Plain Text"/>
    <w:basedOn w:val="a0"/>
    <w:qFormat/>
    <w:rPr>
      <w:rFonts w:ascii="宋体" w:hAnsi="Courier New"/>
    </w:rPr>
  </w:style>
  <w:style w:type="paragraph" w:styleId="af">
    <w:name w:val="Date"/>
    <w:basedOn w:val="a0"/>
    <w:next w:val="a0"/>
    <w:link w:val="af0"/>
    <w:uiPriority w:val="99"/>
    <w:qFormat/>
    <w:pPr>
      <w:ind w:leftChars="2500" w:left="100"/>
    </w:pPr>
  </w:style>
  <w:style w:type="paragraph" w:styleId="af1">
    <w:name w:val="Balloon Text"/>
    <w:basedOn w:val="a0"/>
    <w:link w:val="af2"/>
    <w:uiPriority w:val="99"/>
    <w:qFormat/>
    <w:rPr>
      <w:sz w:val="18"/>
      <w:szCs w:val="18"/>
    </w:rPr>
  </w:style>
  <w:style w:type="paragraph" w:styleId="af3">
    <w:name w:val="footer"/>
    <w:basedOn w:val="a0"/>
    <w:link w:val="af4"/>
    <w:uiPriority w:val="99"/>
    <w:qFormat/>
    <w:pPr>
      <w:tabs>
        <w:tab w:val="center" w:pos="4153"/>
        <w:tab w:val="right" w:pos="8306"/>
      </w:tabs>
      <w:snapToGrid w:val="0"/>
      <w:jc w:val="left"/>
    </w:pPr>
    <w:rPr>
      <w:sz w:val="18"/>
      <w:szCs w:val="18"/>
    </w:rPr>
  </w:style>
  <w:style w:type="paragraph" w:styleId="af5">
    <w:name w:val="header"/>
    <w:basedOn w:val="a0"/>
    <w:link w:val="af6"/>
    <w:uiPriority w:val="99"/>
    <w:qFormat/>
    <w:pPr>
      <w:pBdr>
        <w:bottom w:val="single" w:sz="6" w:space="1" w:color="auto"/>
      </w:pBdr>
      <w:tabs>
        <w:tab w:val="center" w:pos="4153"/>
        <w:tab w:val="right" w:pos="8306"/>
      </w:tabs>
      <w:snapToGrid w:val="0"/>
      <w:jc w:val="center"/>
    </w:pPr>
    <w:rPr>
      <w:sz w:val="18"/>
      <w:szCs w:val="18"/>
    </w:rPr>
  </w:style>
  <w:style w:type="paragraph" w:styleId="TOC6">
    <w:name w:val="toc 6"/>
    <w:basedOn w:val="a0"/>
    <w:next w:val="a0"/>
    <w:uiPriority w:val="39"/>
    <w:qFormat/>
    <w:pPr>
      <w:ind w:left="1050"/>
      <w:jc w:val="left"/>
    </w:pPr>
    <w:rPr>
      <w:sz w:val="18"/>
      <w:szCs w:val="18"/>
    </w:rPr>
  </w:style>
  <w:style w:type="paragraph" w:styleId="31">
    <w:name w:val="Body Text Indent 3"/>
    <w:basedOn w:val="a0"/>
    <w:link w:val="32"/>
    <w:uiPriority w:val="99"/>
    <w:qFormat/>
    <w:pPr>
      <w:spacing w:after="120"/>
      <w:ind w:leftChars="200" w:left="420"/>
    </w:pPr>
    <w:rPr>
      <w:sz w:val="16"/>
      <w:szCs w:val="16"/>
    </w:rPr>
  </w:style>
  <w:style w:type="paragraph" w:styleId="21">
    <w:name w:val="Body Text 2"/>
    <w:basedOn w:val="a0"/>
    <w:uiPriority w:val="99"/>
    <w:qFormat/>
    <w:pPr>
      <w:widowControl/>
      <w:snapToGrid w:val="0"/>
      <w:spacing w:before="50" w:afterLines="50" w:line="400" w:lineRule="exact"/>
      <w:jc w:val="left"/>
    </w:pPr>
    <w:rPr>
      <w:rFonts w:ascii="宋体" w:hAnsi="宋体"/>
      <w:color w:val="000000"/>
    </w:rPr>
  </w:style>
  <w:style w:type="paragraph" w:styleId="af7">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f8">
    <w:name w:val="Title"/>
    <w:basedOn w:val="a0"/>
    <w:next w:val="a0"/>
    <w:link w:val="af9"/>
    <w:uiPriority w:val="10"/>
    <w:qFormat/>
    <w:pPr>
      <w:spacing w:before="240" w:after="60"/>
      <w:jc w:val="center"/>
      <w:outlineLvl w:val="0"/>
    </w:pPr>
    <w:rPr>
      <w:rFonts w:ascii="Cambria" w:hAnsi="Cambria"/>
      <w:b/>
      <w:bCs/>
      <w:sz w:val="32"/>
      <w:szCs w:val="32"/>
    </w:rPr>
  </w:style>
  <w:style w:type="paragraph" w:styleId="afa">
    <w:name w:val="annotation subject"/>
    <w:basedOn w:val="a8"/>
    <w:next w:val="a8"/>
    <w:link w:val="afb"/>
    <w:uiPriority w:val="99"/>
    <w:qFormat/>
    <w:rPr>
      <w:b/>
      <w:bCs/>
    </w:rPr>
  </w:style>
  <w:style w:type="paragraph" w:styleId="afc">
    <w:name w:val="Body Text First Indent"/>
    <w:basedOn w:val="aa"/>
    <w:next w:val="TOC6"/>
    <w:link w:val="afd"/>
    <w:qFormat/>
    <w:pPr>
      <w:adjustRightInd/>
      <w:spacing w:after="120" w:line="240" w:lineRule="auto"/>
      <w:ind w:firstLineChars="100" w:firstLine="420"/>
      <w:textAlignment w:val="auto"/>
    </w:pPr>
    <w:rPr>
      <w:rFonts w:eastAsia="宋体"/>
      <w:b w:val="0"/>
      <w:kern w:val="2"/>
      <w:sz w:val="21"/>
      <w:szCs w:val="24"/>
    </w:rPr>
  </w:style>
  <w:style w:type="table" w:styleId="afe">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basedOn w:val="a1"/>
    <w:qFormat/>
    <w:rPr>
      <w:b/>
    </w:rPr>
  </w:style>
  <w:style w:type="character" w:styleId="aff0">
    <w:name w:val="Hyperlink"/>
    <w:uiPriority w:val="99"/>
    <w:qFormat/>
    <w:rPr>
      <w:color w:val="666666"/>
      <w:u w:val="none"/>
    </w:rPr>
  </w:style>
  <w:style w:type="character" w:styleId="aff1">
    <w:name w:val="annotation reference"/>
    <w:qFormat/>
    <w:rPr>
      <w:sz w:val="21"/>
      <w:szCs w:val="21"/>
    </w:rPr>
  </w:style>
  <w:style w:type="character" w:customStyle="1" w:styleId="ab">
    <w:name w:val="正文文本 字符"/>
    <w:link w:val="aa"/>
    <w:qFormat/>
    <w:rPr>
      <w:rFonts w:ascii="Times New Roman" w:eastAsia="仿宋体" w:hAnsi="Times New Roman"/>
      <w:b/>
      <w:sz w:val="32"/>
    </w:rPr>
  </w:style>
  <w:style w:type="character" w:customStyle="1" w:styleId="afd">
    <w:name w:val="正文文本首行缩进 字符"/>
    <w:link w:val="afc"/>
    <w:qFormat/>
    <w:rPr>
      <w:rFonts w:ascii="Times New Roman" w:eastAsia="仿宋体" w:hAnsi="Times New Roman"/>
      <w:kern w:val="2"/>
      <w:sz w:val="21"/>
      <w:szCs w:val="24"/>
    </w:rPr>
  </w:style>
  <w:style w:type="character" w:customStyle="1" w:styleId="10">
    <w:name w:val="标题 1 字符"/>
    <w:link w:val="1"/>
    <w:qFormat/>
    <w:rPr>
      <w:rFonts w:ascii="Times New Roman" w:eastAsia="黑体" w:hAnsi="Times New Roman"/>
      <w:kern w:val="44"/>
      <w:sz w:val="28"/>
    </w:rPr>
  </w:style>
  <w:style w:type="character" w:customStyle="1" w:styleId="20">
    <w:name w:val="标题 2 字符"/>
    <w:link w:val="2"/>
    <w:qFormat/>
    <w:rPr>
      <w:rFonts w:ascii="Times New Roman" w:eastAsia="黑体" w:hAnsi="Times New Roman"/>
      <w:sz w:val="24"/>
    </w:rPr>
  </w:style>
  <w:style w:type="character" w:customStyle="1" w:styleId="30">
    <w:name w:val="标题 3 字符"/>
    <w:link w:val="3"/>
    <w:qFormat/>
    <w:rPr>
      <w:rFonts w:ascii="Times New Roman" w:eastAsia="黑体" w:hAnsi="Times New Roman"/>
      <w:sz w:val="24"/>
    </w:rPr>
  </w:style>
  <w:style w:type="character" w:customStyle="1" w:styleId="40">
    <w:name w:val="标题 4 字符"/>
    <w:link w:val="4"/>
    <w:qFormat/>
    <w:rPr>
      <w:rFonts w:ascii="Times New Roman" w:hAnsi="Times New Roman"/>
      <w:kern w:val="28"/>
      <w:sz w:val="24"/>
    </w:rPr>
  </w:style>
  <w:style w:type="character" w:customStyle="1" w:styleId="50">
    <w:name w:val="标题 5 字符"/>
    <w:link w:val="5"/>
    <w:uiPriority w:val="9"/>
    <w:qFormat/>
    <w:rPr>
      <w:b/>
      <w:bCs/>
      <w:kern w:val="2"/>
      <w:sz w:val="28"/>
      <w:szCs w:val="28"/>
    </w:rPr>
  </w:style>
  <w:style w:type="character" w:customStyle="1" w:styleId="60">
    <w:name w:val="标题 6 字符"/>
    <w:link w:val="6"/>
    <w:uiPriority w:val="9"/>
    <w:qFormat/>
    <w:rPr>
      <w:rFonts w:ascii="Cambria" w:eastAsia="宋体" w:hAnsi="Cambria" w:cs="Times New Roman"/>
      <w:b/>
      <w:bCs/>
      <w:kern w:val="2"/>
      <w:sz w:val="24"/>
      <w:szCs w:val="24"/>
    </w:rPr>
  </w:style>
  <w:style w:type="character" w:customStyle="1" w:styleId="70">
    <w:name w:val="标题 7 字符"/>
    <w:link w:val="7"/>
    <w:uiPriority w:val="9"/>
    <w:qFormat/>
    <w:rPr>
      <w:b/>
      <w:bCs/>
      <w:kern w:val="2"/>
      <w:sz w:val="24"/>
      <w:szCs w:val="24"/>
    </w:rPr>
  </w:style>
  <w:style w:type="character" w:customStyle="1" w:styleId="a5">
    <w:name w:val="正文缩进 字符"/>
    <w:link w:val="a4"/>
    <w:qFormat/>
    <w:rPr>
      <w:rFonts w:ascii="Times New Roman" w:hAnsi="Times New Roman"/>
      <w:kern w:val="2"/>
      <w:sz w:val="24"/>
      <w:szCs w:val="24"/>
    </w:rPr>
  </w:style>
  <w:style w:type="character" w:customStyle="1" w:styleId="a7">
    <w:name w:val="文档结构图 字符"/>
    <w:link w:val="a6"/>
    <w:uiPriority w:val="99"/>
    <w:qFormat/>
    <w:rPr>
      <w:rFonts w:ascii="宋体" w:eastAsia="宋体" w:hAnsi="Times New Roman" w:cs="Times New Roman"/>
      <w:sz w:val="18"/>
      <w:szCs w:val="18"/>
    </w:rPr>
  </w:style>
  <w:style w:type="character" w:customStyle="1" w:styleId="a9">
    <w:name w:val="批注文字 字符"/>
    <w:link w:val="a8"/>
    <w:uiPriority w:val="99"/>
    <w:qFormat/>
    <w:rPr>
      <w:kern w:val="2"/>
      <w:sz w:val="21"/>
    </w:rPr>
  </w:style>
  <w:style w:type="character" w:customStyle="1" w:styleId="ad">
    <w:name w:val="正文文本缩进 字符"/>
    <w:link w:val="ac"/>
    <w:uiPriority w:val="99"/>
    <w:qFormat/>
    <w:rPr>
      <w:rFonts w:ascii="Times New Roman" w:hAnsi="Times New Roman"/>
      <w:kern w:val="2"/>
      <w:sz w:val="21"/>
    </w:rPr>
  </w:style>
  <w:style w:type="character" w:customStyle="1" w:styleId="af0">
    <w:name w:val="日期 字符"/>
    <w:link w:val="af"/>
    <w:uiPriority w:val="99"/>
    <w:qFormat/>
    <w:rPr>
      <w:rFonts w:ascii="Times New Roman" w:hAnsi="Times New Roman"/>
      <w:kern w:val="2"/>
      <w:sz w:val="21"/>
    </w:rPr>
  </w:style>
  <w:style w:type="character" w:customStyle="1" w:styleId="af2">
    <w:name w:val="批注框文本 字符"/>
    <w:link w:val="af1"/>
    <w:uiPriority w:val="99"/>
    <w:qFormat/>
    <w:rPr>
      <w:rFonts w:ascii="Times New Roman" w:hAnsi="Times New Roman"/>
      <w:kern w:val="2"/>
      <w:sz w:val="18"/>
      <w:szCs w:val="18"/>
    </w:rPr>
  </w:style>
  <w:style w:type="character" w:customStyle="1" w:styleId="af4">
    <w:name w:val="页脚 字符"/>
    <w:link w:val="af3"/>
    <w:uiPriority w:val="99"/>
    <w:qFormat/>
    <w:rPr>
      <w:rFonts w:ascii="Times New Roman" w:hAnsi="Times New Roman"/>
      <w:kern w:val="2"/>
      <w:sz w:val="18"/>
      <w:szCs w:val="18"/>
    </w:rPr>
  </w:style>
  <w:style w:type="character" w:customStyle="1" w:styleId="af6">
    <w:name w:val="页眉 字符"/>
    <w:link w:val="af5"/>
    <w:uiPriority w:val="99"/>
    <w:qFormat/>
    <w:rPr>
      <w:rFonts w:ascii="Times New Roman" w:hAnsi="Times New Roman"/>
      <w:kern w:val="2"/>
      <w:sz w:val="18"/>
      <w:szCs w:val="18"/>
    </w:rPr>
  </w:style>
  <w:style w:type="character" w:customStyle="1" w:styleId="32">
    <w:name w:val="正文文本缩进 3 字符"/>
    <w:link w:val="31"/>
    <w:uiPriority w:val="99"/>
    <w:qFormat/>
    <w:rPr>
      <w:rFonts w:ascii="Times New Roman" w:hAnsi="Times New Roman"/>
      <w:kern w:val="2"/>
      <w:sz w:val="16"/>
      <w:szCs w:val="16"/>
    </w:rPr>
  </w:style>
  <w:style w:type="character" w:customStyle="1" w:styleId="af9">
    <w:name w:val="标题 字符"/>
    <w:link w:val="af8"/>
    <w:uiPriority w:val="10"/>
    <w:qFormat/>
    <w:rPr>
      <w:rFonts w:ascii="Cambria" w:eastAsia="宋体" w:hAnsi="Cambria" w:cs="Times New Roman"/>
      <w:b/>
      <w:bCs/>
      <w:kern w:val="2"/>
      <w:sz w:val="32"/>
      <w:szCs w:val="32"/>
    </w:rPr>
  </w:style>
  <w:style w:type="character" w:customStyle="1" w:styleId="afb">
    <w:name w:val="批注主题 字符"/>
    <w:link w:val="afa"/>
    <w:uiPriority w:val="99"/>
    <w:qFormat/>
    <w:rPr>
      <w:b/>
      <w:bCs/>
      <w:kern w:val="2"/>
      <w:sz w:val="21"/>
    </w:rPr>
  </w:style>
  <w:style w:type="paragraph" w:customStyle="1" w:styleId="Style2">
    <w:name w:val="_Style 2"/>
    <w:basedOn w:val="a0"/>
    <w:qFormat/>
    <w:pPr>
      <w:ind w:firstLineChars="200" w:firstLine="200"/>
    </w:pPr>
    <w:rPr>
      <w:rFonts w:ascii="Calibri" w:hAnsi="Calibri"/>
      <w:sz w:val="28"/>
    </w:rPr>
  </w:style>
  <w:style w:type="character" w:customStyle="1" w:styleId="font01">
    <w:name w:val="font01"/>
    <w:qFormat/>
    <w:rPr>
      <w:rFonts w:ascii="宋体" w:eastAsia="宋体" w:hAnsi="宋体" w:hint="eastAsia"/>
      <w:color w:val="000000"/>
      <w:sz w:val="18"/>
      <w:szCs w:val="18"/>
      <w:u w:val="none"/>
    </w:rPr>
  </w:style>
  <w:style w:type="paragraph" w:customStyle="1" w:styleId="p0">
    <w:name w:val="p0"/>
    <w:basedOn w:val="a0"/>
    <w:qFormat/>
    <w:pPr>
      <w:widowControl/>
      <w:snapToGrid w:val="0"/>
      <w:spacing w:line="300" w:lineRule="auto"/>
      <w:ind w:firstLine="420"/>
    </w:pPr>
    <w:rPr>
      <w:kern w:val="0"/>
      <w:sz w:val="24"/>
      <w:szCs w:val="24"/>
    </w:rPr>
  </w:style>
  <w:style w:type="paragraph" w:customStyle="1" w:styleId="p15">
    <w:name w:val="p15"/>
    <w:basedOn w:val="a0"/>
    <w:qFormat/>
    <w:pPr>
      <w:widowControl/>
      <w:snapToGrid w:val="0"/>
      <w:spacing w:line="300" w:lineRule="auto"/>
      <w:ind w:firstLine="420"/>
    </w:pPr>
    <w:rPr>
      <w:kern w:val="0"/>
      <w:sz w:val="24"/>
      <w:szCs w:val="24"/>
    </w:rPr>
  </w:style>
  <w:style w:type="paragraph" w:customStyle="1" w:styleId="11">
    <w:name w:val="列出段落1"/>
    <w:basedOn w:val="a0"/>
    <w:uiPriority w:val="34"/>
    <w:qFormat/>
    <w:pPr>
      <w:ind w:firstLineChars="200" w:firstLine="200"/>
    </w:pPr>
    <w:rPr>
      <w:rFonts w:hint="eastAsia"/>
    </w:rPr>
  </w:style>
  <w:style w:type="paragraph" w:customStyle="1" w:styleId="12">
    <w:name w:val="列表段落1"/>
    <w:basedOn w:val="a0"/>
    <w:uiPriority w:val="34"/>
    <w:qFormat/>
    <w:pPr>
      <w:widowControl/>
      <w:ind w:firstLineChars="200" w:firstLine="420"/>
      <w:jc w:val="left"/>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f2">
    <w:name w:val="文档正文"/>
    <w:basedOn w:val="a0"/>
    <w:qFormat/>
    <w:pPr>
      <w:adjustRightInd w:val="0"/>
      <w:spacing w:line="480" w:lineRule="atLeast"/>
      <w:ind w:firstLine="567"/>
      <w:textAlignment w:val="baseline"/>
    </w:pPr>
    <w:rPr>
      <w:rFonts w:ascii="仿宋_GB2312" w:eastAsia="仿宋_GB2312"/>
      <w:kern w:val="0"/>
      <w:sz w:val="28"/>
    </w:rPr>
  </w:style>
  <w:style w:type="paragraph" w:customStyle="1" w:styleId="a">
    <w:name w:val="节"/>
    <w:basedOn w:val="a0"/>
    <w:qFormat/>
    <w:pPr>
      <w:numPr>
        <w:ilvl w:val="1"/>
        <w:numId w:val="2"/>
      </w:numPr>
    </w:pPr>
    <w:rPr>
      <w:szCs w:val="24"/>
    </w:rPr>
  </w:style>
  <w:style w:type="paragraph" w:customStyle="1" w:styleId="WPSOffice1">
    <w:name w:val="WPSOffice手动目录 1"/>
    <w:qFormat/>
    <w:rPr>
      <w:rFonts w:ascii="Calibri" w:hAnsi="Calibri"/>
    </w:rPr>
  </w:style>
  <w:style w:type="paragraph" w:customStyle="1" w:styleId="aff3">
    <w:name w:val="表"/>
    <w:next w:val="a0"/>
    <w:qFormat/>
    <w:rPr>
      <w:rFonts w:ascii="Calibri" w:hAnsi="Calibri"/>
      <w:kern w:val="2"/>
      <w:sz w:val="21"/>
      <w:szCs w:val="22"/>
    </w:rPr>
  </w:style>
  <w:style w:type="character" w:customStyle="1" w:styleId="font41">
    <w:name w:val="font41"/>
    <w:qFormat/>
    <w:rPr>
      <w:rFonts w:ascii="宋体" w:eastAsia="宋体" w:hAnsi="宋体" w:cs="宋体" w:hint="eastAsia"/>
      <w:color w:val="000000"/>
      <w:sz w:val="20"/>
      <w:szCs w:val="20"/>
      <w:u w:val="none"/>
    </w:rPr>
  </w:style>
  <w:style w:type="character" w:customStyle="1" w:styleId="font71">
    <w:name w:val="font71"/>
    <w:qFormat/>
    <w:rPr>
      <w:rFonts w:ascii="微软雅黑" w:eastAsia="微软雅黑" w:hAnsi="微软雅黑" w:cs="微软雅黑" w:hint="eastAsia"/>
      <w:color w:val="000000"/>
      <w:sz w:val="18"/>
      <w:szCs w:val="18"/>
      <w:u w:val="none"/>
    </w:rPr>
  </w:style>
  <w:style w:type="paragraph" w:customStyle="1" w:styleId="13">
    <w:name w:val="修订1"/>
    <w:uiPriority w:val="99"/>
    <w:qFormat/>
    <w:rPr>
      <w:kern w:val="2"/>
      <w:sz w:val="21"/>
    </w:rPr>
  </w:style>
  <w:style w:type="paragraph" w:styleId="aff4">
    <w:name w:val="List Paragraph"/>
    <w:basedOn w:val="a0"/>
    <w:uiPriority w:val="99"/>
    <w:qFormat/>
    <w:pPr>
      <w:ind w:firstLineChars="200" w:firstLine="420"/>
    </w:pPr>
  </w:style>
  <w:style w:type="paragraph" w:customStyle="1" w:styleId="22">
    <w:name w:val="修订2"/>
    <w:uiPriority w:val="99"/>
    <w:qFormat/>
    <w:rPr>
      <w:kern w:val="2"/>
      <w:sz w:val="21"/>
    </w:rPr>
  </w:style>
  <w:style w:type="paragraph" w:customStyle="1" w:styleId="ListParagraph1">
    <w:name w:val="List Paragraph1"/>
    <w:basedOn w:val="a0"/>
    <w:uiPriority w:val="99"/>
    <w:qFormat/>
    <w:pPr>
      <w:ind w:firstLineChars="200" w:firstLine="420"/>
    </w:pPr>
  </w:style>
  <w:style w:type="character" w:customStyle="1" w:styleId="font21">
    <w:name w:val="font21"/>
    <w:qFormat/>
    <w:rPr>
      <w:rFonts w:ascii="仿宋" w:eastAsia="仿宋" w:hAnsi="仿宋" w:cs="仿宋" w:hint="eastAsia"/>
      <w:color w:val="000000"/>
      <w:sz w:val="20"/>
      <w:szCs w:val="20"/>
      <w:u w:val="none"/>
    </w:rPr>
  </w:style>
  <w:style w:type="character" w:customStyle="1" w:styleId="font51">
    <w:name w:val="font51"/>
    <w:qFormat/>
    <w:rPr>
      <w:rFonts w:ascii="宋体" w:eastAsia="宋体" w:hAnsi="宋体" w:cs="宋体" w:hint="eastAsia"/>
      <w:color w:val="00CCFF"/>
      <w:sz w:val="20"/>
      <w:szCs w:val="20"/>
      <w:u w:val="none"/>
    </w:rPr>
  </w:style>
  <w:style w:type="character" w:customStyle="1" w:styleId="font11">
    <w:name w:val="font11"/>
    <w:basedOn w:val="a1"/>
    <w:qFormat/>
    <w:rPr>
      <w:rFonts w:ascii="宋体" w:eastAsia="宋体" w:hAnsi="宋体" w:cs="宋体" w:hint="eastAsia"/>
      <w:color w:val="000000"/>
      <w:sz w:val="22"/>
      <w:szCs w:val="22"/>
      <w:u w:val="none"/>
    </w:rPr>
  </w:style>
  <w:style w:type="paragraph" w:customStyle="1" w:styleId="33">
    <w:name w:val="修订3"/>
    <w:uiPriority w:val="99"/>
    <w:qFormat/>
    <w:rPr>
      <w:kern w:val="2"/>
      <w:sz w:val="21"/>
    </w:rPr>
  </w:style>
  <w:style w:type="paragraph" w:customStyle="1" w:styleId="41">
    <w:name w:val="修订4"/>
    <w:uiPriority w:val="99"/>
    <w:qFormat/>
    <w:rPr>
      <w:kern w:val="2"/>
      <w:sz w:val="21"/>
    </w:rPr>
  </w:style>
  <w:style w:type="paragraph" w:customStyle="1" w:styleId="Revision1">
    <w:name w:val="Revision1"/>
    <w:uiPriority w:val="99"/>
    <w:qFormat/>
    <w:rPr>
      <w:kern w:val="2"/>
      <w:sz w:val="21"/>
    </w:rPr>
  </w:style>
  <w:style w:type="paragraph" w:customStyle="1" w:styleId="51">
    <w:name w:val="修订5"/>
    <w:uiPriority w:val="99"/>
    <w:qFormat/>
    <w:rPr>
      <w:kern w:val="2"/>
      <w:sz w:val="21"/>
    </w:rPr>
  </w:style>
  <w:style w:type="paragraph" w:customStyle="1" w:styleId="61">
    <w:name w:val="修订6"/>
    <w:uiPriority w:val="99"/>
    <w:qFormat/>
    <w:rPr>
      <w:kern w:val="2"/>
      <w:sz w:val="21"/>
    </w:rPr>
  </w:style>
  <w:style w:type="character" w:customStyle="1" w:styleId="font61">
    <w:name w:val="font61"/>
    <w:basedOn w:val="a1"/>
    <w:qFormat/>
    <w:rPr>
      <w:rFonts w:ascii="宋体" w:eastAsia="宋体" w:hAnsi="宋体" w:cs="宋体" w:hint="eastAsia"/>
      <w:b/>
      <w:bCs/>
      <w:color w:val="000000"/>
      <w:sz w:val="28"/>
      <w:szCs w:val="28"/>
      <w:u w:val="none"/>
    </w:rPr>
  </w:style>
  <w:style w:type="paragraph" w:customStyle="1" w:styleId="71">
    <w:name w:val="修订7"/>
    <w:hidden/>
    <w:uiPriority w:val="99"/>
    <w:unhideWhenUsed/>
    <w:rPr>
      <w:kern w:val="2"/>
      <w:sz w:val="21"/>
    </w:rPr>
  </w:style>
  <w:style w:type="paragraph" w:customStyle="1" w:styleId="8">
    <w:name w:val="修订8"/>
    <w:hidden/>
    <w:uiPriority w:val="99"/>
    <w:unhideWhenUsed/>
    <w:qFormat/>
    <w:rPr>
      <w:kern w:val="2"/>
      <w:sz w:val="21"/>
    </w:rPr>
  </w:style>
  <w:style w:type="paragraph" w:customStyle="1" w:styleId="9">
    <w:name w:val="修订9"/>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6</Pages>
  <Words>754</Words>
  <Characters>4304</Characters>
  <Application>Microsoft Office Word</Application>
  <DocSecurity>0</DocSecurity>
  <Lines>35</Lines>
  <Paragraphs>10</Paragraphs>
  <ScaleCrop>false</ScaleCrop>
  <Company/>
  <LinksUpToDate>false</LinksUpToDate>
  <CharactersWithSpaces>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麻 伟峰</cp:lastModifiedBy>
  <cp:revision>120</cp:revision>
  <cp:lastPrinted>2024-10-11T18:08:00Z</cp:lastPrinted>
  <dcterms:created xsi:type="dcterms:W3CDTF">2024-11-08T22:42:00Z</dcterms:created>
  <dcterms:modified xsi:type="dcterms:W3CDTF">2026-08-19T09:57:00Z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4FE0EA47BEDF9EF01CE8386A292BA969_43</vt:lpwstr>
  </property>
  <property fmtid="{D5CDD505-2E9C-101B-9397-08002B2CF9AE}" pid="4" name="KSOTemplateDocerSaveRecord">
    <vt:lpwstr>eyJoZGlkIjoiNmJlZmM5MWQ2OWY3MDgzYjVjNmFiMTcwZmMyMGIwY2EiLCJ1c2VySWQiOiIxMTY3MjkzMTM5In0=</vt:lpwstr>
  </property>
</Properties>
</file>